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b/>
          <w:bCs/>
          <w:iCs/>
          <w:caps w:val="0"/>
          <w:noProof/>
          <w:color w:val="auto"/>
          <w:spacing w:val="0"/>
          <w:kern w:val="0"/>
          <w:sz w:val="2"/>
          <w:szCs w:val="2"/>
          <w:lang w:val="de-AT" w:eastAsia="de-AT"/>
          <w14:ligatures w14:val="none"/>
        </w:rPr>
        <w:id w:val="1949882721"/>
        <w:docPartObj>
          <w:docPartGallery w:val="Cover Pages"/>
          <w:docPartUnique/>
        </w:docPartObj>
      </w:sdtPr>
      <w:sdtEndPr>
        <w:rPr>
          <w:b w:val="0"/>
          <w:bCs w:val="0"/>
          <w:iCs w:val="0"/>
          <w:noProof w:val="0"/>
          <w:sz w:val="20"/>
          <w:szCs w:val="20"/>
          <w:lang w:eastAsia="en-US"/>
        </w:rPr>
      </w:sdtEndPr>
      <w:sdtContent>
        <w:p w:rsidR="008D7A32" w:rsidRPr="0053739E" w:rsidRDefault="008D7A32" w:rsidP="0053739E">
          <w:pPr>
            <w:pStyle w:val="CE-MEGA"/>
            <w:spacing w:line="300" w:lineRule="exact"/>
            <w:rPr>
              <w:rFonts w:ascii="Times New Roman" w:hAnsi="Times New Roman"/>
              <w:caps w:val="0"/>
              <w:color w:val="auto"/>
              <w:spacing w:val="0"/>
              <w:kern w:val="0"/>
              <w:sz w:val="2"/>
              <w:szCs w:val="2"/>
              <w:lang w:val="de-AT"/>
              <w14:ligatures w14:val="none"/>
            </w:rPr>
          </w:pPr>
        </w:p>
        <w:p w:rsidR="000E4C08" w:rsidRPr="00CA5EA6" w:rsidRDefault="003D7F45" w:rsidP="00CA5EA6">
          <w:pPr>
            <w:pStyle w:val="CE-Head2"/>
            <w:rPr>
              <w:sz w:val="36"/>
              <w:lang w:val="en-GB"/>
            </w:rPr>
          </w:pPr>
          <w:r>
            <w:rPr>
              <w:lang w:val="sl-SI" w:eastAsia="sl-SI"/>
            </w:rPr>
            <mc:AlternateContent>
              <mc:Choice Requires="wps">
                <w:drawing>
                  <wp:anchor distT="0" distB="0" distL="114300" distR="114300" simplePos="0" relativeHeight="251661312" behindDoc="0" locked="0" layoutInCell="1" allowOverlap="1" wp14:anchorId="1DCBEA3F" wp14:editId="32E63E7E">
                    <wp:simplePos x="0" y="0"/>
                    <wp:positionH relativeFrom="column">
                      <wp:posOffset>4934585</wp:posOffset>
                    </wp:positionH>
                    <wp:positionV relativeFrom="paragraph">
                      <wp:posOffset>19685</wp:posOffset>
                    </wp:positionV>
                    <wp:extent cx="1323975" cy="409575"/>
                    <wp:effectExtent l="0" t="0" r="0" b="0"/>
                    <wp:wrapNone/>
                    <wp:docPr id="6" name="Textfeld 6"/>
                    <wp:cNvGraphicFramePr/>
                    <a:graphic xmlns:a="http://schemas.openxmlformats.org/drawingml/2006/main">
                      <a:graphicData uri="http://schemas.microsoft.com/office/word/2010/wordprocessingShape">
                        <wps:wsp>
                          <wps:cNvSpPr txBox="1"/>
                          <wps:spPr bwMode="auto">
                            <a:xfrm>
                              <a:off x="0" y="0"/>
                              <a:ext cx="1323975" cy="409575"/>
                            </a:xfrm>
                            <a:prstGeom prst="rect">
                              <a:avLst/>
                            </a:prstGeom>
                            <a:noFill/>
                            <a:ln w="6350">
                              <a:noFill/>
                            </a:ln>
                          </wps:spPr>
                          <wps:txbx>
                            <w:txbxContent>
                              <w:p w:rsidR="000E4C08" w:rsidRPr="003D7F45" w:rsidRDefault="000E4C08" w:rsidP="001A6A77">
                                <w:pPr>
                                  <w:pStyle w:val="CE-Head2"/>
                                  <w:jc w:val="right"/>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BEA3F" id="_x0000_t202" coordsize="21600,21600" o:spt="202" path="m,l,21600r21600,l21600,xe">
                    <v:stroke joinstyle="miter"/>
                    <v:path gradientshapeok="t" o:connecttype="rect"/>
                  </v:shapetype>
                  <v:shape id="Textfeld 6" o:spid="_x0000_s1026" type="#_x0000_t202" style="position:absolute;left:0;text-align:left;margin-left:388.55pt;margin-top:1.55pt;width:104.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" filled="f" stroked="f" strokeweight=".5pt">
                    <v:textbox>
                      <w:txbxContent>
                        <w:p w:rsidR="000E4C08" w:rsidRPr="003D7F45" w:rsidRDefault="000E4C08" w:rsidP="001A6A77">
                          <w:pPr>
                            <w:pStyle w:val="CE-Head2"/>
                            <w:jc w:val="right"/>
                            <w:rPr>
                              <w:sz w:val="32"/>
                              <w:szCs w:val="32"/>
                            </w:rPr>
                          </w:pPr>
                        </w:p>
                      </w:txbxContent>
                    </v:textbox>
                  </v:shape>
                </w:pict>
              </mc:Fallback>
            </mc:AlternateContent>
          </w:r>
          <w:r w:rsidR="00C173F9">
            <w:rPr>
              <w:sz w:val="36"/>
              <w:lang w:val="en-GB"/>
            </w:rPr>
            <w:t>Output fact</w:t>
          </w:r>
          <w:r w:rsidR="00C173F9" w:rsidRPr="00C551C0">
            <w:rPr>
              <w:sz w:val="36"/>
              <w:lang w:val="en-GB"/>
            </w:rPr>
            <w:t>sheet</w:t>
          </w:r>
          <w:r w:rsidR="00C173F9">
            <w:rPr>
              <w:sz w:val="36"/>
              <w:lang w:val="en-GB"/>
            </w:rPr>
            <w:t>:</w:t>
          </w:r>
          <w:r w:rsidR="00CA5EA6">
            <w:rPr>
              <w:lang w:val="sl-SI" w:eastAsia="sl-SI"/>
            </w:rPr>
            <mc:AlternateContent>
              <mc:Choice Requires="wps">
                <w:drawing>
                  <wp:anchor distT="0" distB="0" distL="114300" distR="114300" simplePos="0" relativeHeight="251660288" behindDoc="0" locked="0" layoutInCell="1" allowOverlap="1" wp14:anchorId="7174B270" wp14:editId="24EE6AF3">
                    <wp:simplePos x="0" y="0"/>
                    <wp:positionH relativeFrom="column">
                      <wp:posOffset>10160</wp:posOffset>
                    </wp:positionH>
                    <wp:positionV relativeFrom="paragraph">
                      <wp:posOffset>414020</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6D1F8E"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" strokecolor="#7e93a5 [3214]" strokeweight="1.5pt">
                    <v:stroke endcap="round"/>
                  </v:line>
                </w:pict>
              </mc:Fallback>
            </mc:AlternateContent>
          </w:r>
          <w:r w:rsidR="000E4C08">
            <w:rPr>
              <w:lang w:val="sl-SI" w:eastAsia="sl-SI"/>
            </w:rPr>
            <mc:AlternateContent>
              <mc:Choice Requires="wps">
                <w:drawing>
                  <wp:anchor distT="0" distB="0" distL="114300" distR="114300" simplePos="0" relativeHeight="251659264" behindDoc="0" locked="0" layoutInCell="1" allowOverlap="1" wp14:anchorId="4BB7F3B4" wp14:editId="6B0D1F3F">
                    <wp:simplePos x="0" y="0"/>
                    <wp:positionH relativeFrom="column">
                      <wp:posOffset>6350</wp:posOffset>
                    </wp:positionH>
                    <wp:positionV relativeFrom="paragraph">
                      <wp:posOffset>19685</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8C0961"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" strokecolor="#7e93a5 [3214]" strokeweight="1.5pt">
                    <v:stroke endcap="round"/>
                  </v:line>
                </w:pict>
              </mc:Fallback>
            </mc:AlternateContent>
          </w:r>
          <w:r w:rsidR="00C173F9">
            <w:rPr>
              <w:sz w:val="36"/>
              <w:lang w:val="en-GB"/>
            </w:rPr>
            <w:t xml:space="preserve"> </w:t>
          </w:r>
          <w:r w:rsidR="00212FBB">
            <w:rPr>
              <w:sz w:val="36"/>
              <w:lang w:val="en-GB"/>
            </w:rPr>
            <w:t>Pilot actions</w:t>
          </w:r>
        </w:p>
        <w:p w:rsidR="00156013" w:rsidRPr="00156013" w:rsidRDefault="000777DF" w:rsidP="00156013">
          <w:pPr>
            <w:spacing w:before="0" w:line="240" w:lineRule="auto"/>
            <w:ind w:left="0" w:right="0"/>
            <w:jc w:val="left"/>
            <w:rPr>
              <w:lang w:val="en-GB"/>
            </w:rPr>
          </w:pPr>
        </w:p>
      </w:sdtContent>
    </w:sdt>
    <w:tbl>
      <w:tblPr>
        <w:tblStyle w:val="CE-Table2"/>
        <w:tblW w:w="9498" w:type="dxa"/>
        <w:tblInd w:w="108" w:type="dxa"/>
        <w:tblLook w:val="0480" w:firstRow="0" w:lastRow="0" w:firstColumn="1" w:lastColumn="0" w:noHBand="0" w:noVBand="1"/>
      </w:tblPr>
      <w:tblGrid>
        <w:gridCol w:w="3969"/>
        <w:gridCol w:w="5529"/>
      </w:tblGrid>
      <w:tr w:rsidR="00156013" w:rsidRPr="00EE2947" w:rsidTr="00C173F9">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Head"/>
              <w:spacing w:line="276" w:lineRule="auto"/>
              <w:ind w:right="0"/>
              <w:jc w:val="left"/>
              <w:rPr>
                <w:sz w:val="22"/>
                <w:szCs w:val="22"/>
                <w:lang w:val="en-GB"/>
              </w:rPr>
            </w:pPr>
            <w:r w:rsidRPr="00C173F9">
              <w:rPr>
                <w:sz w:val="22"/>
                <w:szCs w:val="22"/>
                <w:lang w:val="en-GB"/>
              </w:rPr>
              <w:t>Project index number and acronym</w:t>
            </w:r>
          </w:p>
        </w:tc>
        <w:tc>
          <w:tcPr>
            <w:tcW w:w="5529" w:type="dxa"/>
          </w:tcPr>
          <w:p w:rsidR="00156013" w:rsidRPr="00C24350" w:rsidRDefault="00C24350" w:rsidP="00BF2027">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rPr>
                <w:color w:val="232323" w:themeColor="text1" w:themeTint="E6"/>
                <w:sz w:val="22"/>
                <w:szCs w:val="22"/>
              </w:rPr>
            </w:pPr>
            <w:r w:rsidRPr="00C24350">
              <w:rPr>
                <w:color w:val="232323" w:themeColor="text1" w:themeTint="E6"/>
                <w:sz w:val="22"/>
                <w:szCs w:val="22"/>
              </w:rPr>
              <w:t>C</w:t>
            </w:r>
            <w:r w:rsidR="00BA3670" w:rsidRPr="00C24350">
              <w:rPr>
                <w:color w:val="232323" w:themeColor="text1" w:themeTint="E6"/>
                <w:sz w:val="22"/>
                <w:szCs w:val="22"/>
              </w:rPr>
              <w:t>E</w:t>
            </w:r>
            <w:r w:rsidRPr="00C24350">
              <w:rPr>
                <w:color w:val="232323" w:themeColor="text1" w:themeTint="E6"/>
                <w:sz w:val="22"/>
                <w:szCs w:val="22"/>
              </w:rPr>
              <w:t xml:space="preserve"> </w:t>
            </w:r>
            <w:r w:rsidR="00BA3670" w:rsidRPr="00C24350">
              <w:rPr>
                <w:color w:val="232323" w:themeColor="text1" w:themeTint="E6"/>
                <w:sz w:val="22"/>
                <w:szCs w:val="22"/>
              </w:rPr>
              <w:t>111 F</w:t>
            </w:r>
            <w:r w:rsidRPr="00C24350">
              <w:rPr>
                <w:color w:val="232323" w:themeColor="text1" w:themeTint="E6"/>
                <w:sz w:val="22"/>
                <w:szCs w:val="22"/>
              </w:rPr>
              <w:t>OCUS IN CD</w:t>
            </w:r>
          </w:p>
        </w:tc>
      </w:tr>
      <w:tr w:rsidR="00156013" w:rsidRPr="00156013" w:rsidTr="00C173F9">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StandardWhite"/>
              <w:spacing w:line="276" w:lineRule="auto"/>
              <w:rPr>
                <w:sz w:val="22"/>
                <w:szCs w:val="22"/>
              </w:rPr>
            </w:pPr>
            <w:r w:rsidRPr="00C173F9">
              <w:rPr>
                <w:rFonts w:eastAsiaTheme="minorHAnsi" w:cstheme="minorBidi"/>
                <w:b/>
                <w:bCs/>
                <w:iCs/>
                <w:noProof/>
                <w:sz w:val="22"/>
                <w:szCs w:val="22"/>
                <w:lang w:val="en-GB" w:eastAsia="de-AT"/>
              </w:rPr>
              <w:t>Lead partner</w:t>
            </w:r>
          </w:p>
        </w:tc>
        <w:tc>
          <w:tcPr>
            <w:tcW w:w="5529" w:type="dxa"/>
          </w:tcPr>
          <w:p w:rsidR="00156013" w:rsidRPr="00C24350" w:rsidRDefault="00BA3670" w:rsidP="00BF2027">
            <w:pPr>
              <w:pStyle w:val="CE-TableStandard"/>
              <w:spacing w:line="276" w:lineRule="auto"/>
              <w:cnfStyle w:val="000000000000" w:firstRow="0" w:lastRow="0" w:firstColumn="0" w:lastColumn="0" w:oddVBand="0" w:evenVBand="0" w:oddHBand="0" w:evenHBand="0" w:firstRowFirstColumn="0" w:firstRowLastColumn="0" w:lastRowFirstColumn="0" w:lastRowLastColumn="0"/>
              <w:rPr>
                <w:color w:val="232323" w:themeColor="text1" w:themeTint="E6"/>
                <w:sz w:val="22"/>
                <w:szCs w:val="22"/>
              </w:rPr>
            </w:pPr>
            <w:r w:rsidRPr="00C24350">
              <w:rPr>
                <w:color w:val="232323" w:themeColor="text1" w:themeTint="E6"/>
                <w:sz w:val="22"/>
                <w:szCs w:val="22"/>
              </w:rPr>
              <w:t>M</w:t>
            </w:r>
            <w:r w:rsidR="00C24350" w:rsidRPr="00C24350">
              <w:rPr>
                <w:color w:val="232323" w:themeColor="text1" w:themeTint="E6"/>
                <w:sz w:val="22"/>
                <w:szCs w:val="22"/>
              </w:rPr>
              <w:t>UNICIPALITY OF MARIBOR (LP MOM)</w:t>
            </w:r>
          </w:p>
        </w:tc>
      </w:tr>
      <w:tr w:rsidR="00156013" w:rsidRPr="00156013" w:rsidTr="00C17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Head"/>
              <w:spacing w:line="276" w:lineRule="auto"/>
              <w:ind w:right="0"/>
              <w:jc w:val="left"/>
              <w:rPr>
                <w:sz w:val="22"/>
                <w:szCs w:val="22"/>
                <w:lang w:val="en-GB"/>
              </w:rPr>
            </w:pPr>
            <w:r w:rsidRPr="00C173F9">
              <w:rPr>
                <w:sz w:val="22"/>
                <w:szCs w:val="22"/>
                <w:lang w:val="en-GB"/>
              </w:rPr>
              <w:t>Output number and title</w:t>
            </w:r>
          </w:p>
        </w:tc>
        <w:tc>
          <w:tcPr>
            <w:tcW w:w="5529" w:type="dxa"/>
          </w:tcPr>
          <w:p w:rsidR="00C24350" w:rsidRPr="00C24350" w:rsidRDefault="00C24350" w:rsidP="00C24350">
            <w:pPr>
              <w:autoSpaceDE w:val="0"/>
              <w:autoSpaceDN w:val="0"/>
              <w:adjustRightInd w:val="0"/>
              <w:spacing w:before="0" w:line="240" w:lineRule="auto"/>
              <w:ind w:left="0" w:right="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OpenSans"/>
                <w:color w:val="232323" w:themeColor="text1" w:themeTint="E6"/>
                <w:sz w:val="22"/>
                <w:szCs w:val="22"/>
                <w:lang w:val="en-US"/>
              </w:rPr>
            </w:pPr>
            <w:r w:rsidRPr="00C24350">
              <w:rPr>
                <w:rFonts w:asciiTheme="minorHAnsi" w:hAnsiTheme="minorHAnsi"/>
                <w:color w:val="232323" w:themeColor="text1" w:themeTint="E6"/>
                <w:sz w:val="22"/>
                <w:szCs w:val="22"/>
              </w:rPr>
              <w:t xml:space="preserve">O.T3.1 </w:t>
            </w:r>
            <w:r w:rsidRPr="00C24350">
              <w:rPr>
                <w:rFonts w:asciiTheme="minorHAnsi" w:hAnsiTheme="minorHAnsi" w:cs="OpenSans"/>
                <w:color w:val="232323" w:themeColor="text1" w:themeTint="E6"/>
                <w:sz w:val="22"/>
                <w:szCs w:val="22"/>
                <w:lang w:val="en-US"/>
              </w:rPr>
              <w:t>Development and</w:t>
            </w:r>
            <w:r>
              <w:rPr>
                <w:rFonts w:asciiTheme="minorHAnsi" w:hAnsiTheme="minorHAnsi" w:cs="OpenSans"/>
                <w:color w:val="232323" w:themeColor="text1" w:themeTint="E6"/>
                <w:sz w:val="22"/>
                <w:szCs w:val="22"/>
                <w:lang w:val="en-US"/>
              </w:rPr>
              <w:t xml:space="preserve"> </w:t>
            </w:r>
            <w:r w:rsidRPr="00C24350">
              <w:rPr>
                <w:rFonts w:asciiTheme="minorHAnsi" w:hAnsiTheme="minorHAnsi" w:cs="OpenSans"/>
                <w:color w:val="232323" w:themeColor="text1" w:themeTint="E6"/>
                <w:sz w:val="22"/>
                <w:szCs w:val="22"/>
                <w:lang w:val="en-US"/>
              </w:rPr>
              <w:t>implementation of</w:t>
            </w:r>
            <w:r>
              <w:rPr>
                <w:rFonts w:asciiTheme="minorHAnsi" w:hAnsiTheme="minorHAnsi" w:cs="OpenSans"/>
                <w:color w:val="232323" w:themeColor="text1" w:themeTint="E6"/>
                <w:sz w:val="22"/>
                <w:szCs w:val="22"/>
                <w:lang w:val="en-US"/>
              </w:rPr>
              <w:t xml:space="preserve"> </w:t>
            </w:r>
          </w:p>
          <w:p w:rsidR="00156013" w:rsidRPr="00C24350" w:rsidRDefault="00C24350" w:rsidP="00C24350">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rPr>
                <w:color w:val="232323" w:themeColor="text1" w:themeTint="E6"/>
                <w:sz w:val="22"/>
                <w:szCs w:val="22"/>
              </w:rPr>
            </w:pPr>
            <w:r w:rsidRPr="00C24350">
              <w:rPr>
                <w:rFonts w:asciiTheme="minorHAnsi" w:hAnsiTheme="minorHAnsi" w:cs="OpenSans"/>
                <w:color w:val="232323" w:themeColor="text1" w:themeTint="E6"/>
                <w:sz w:val="22"/>
                <w:szCs w:val="22"/>
              </w:rPr>
              <w:t xml:space="preserve">10 pilot projects – </w:t>
            </w:r>
            <w:proofErr w:type="gramStart"/>
            <w:r w:rsidRPr="00C24350">
              <w:rPr>
                <w:rFonts w:asciiTheme="minorHAnsi" w:hAnsiTheme="minorHAnsi" w:cs="OpenSans"/>
                <w:color w:val="232323" w:themeColor="text1" w:themeTint="E6"/>
                <w:sz w:val="22"/>
                <w:szCs w:val="22"/>
              </w:rPr>
              <w:t xml:space="preserve">pilot </w:t>
            </w:r>
            <w:r w:rsidR="008E0D30" w:rsidRPr="00C24350">
              <w:rPr>
                <w:rFonts w:asciiTheme="minorHAnsi" w:hAnsiTheme="minorHAnsi"/>
                <w:color w:val="232323" w:themeColor="text1" w:themeTint="E6"/>
                <w:sz w:val="22"/>
                <w:szCs w:val="22"/>
              </w:rPr>
              <w:t xml:space="preserve"> </w:t>
            </w:r>
            <w:r w:rsidRPr="00C24350">
              <w:rPr>
                <w:rFonts w:asciiTheme="minorHAnsi" w:hAnsiTheme="minorHAnsi"/>
                <w:color w:val="232323" w:themeColor="text1" w:themeTint="E6"/>
                <w:sz w:val="22"/>
                <w:szCs w:val="22"/>
              </w:rPr>
              <w:t>“</w:t>
            </w:r>
            <w:proofErr w:type="gramEnd"/>
            <w:r w:rsidR="008E0D30" w:rsidRPr="00C24350">
              <w:rPr>
                <w:rFonts w:asciiTheme="minorHAnsi" w:hAnsiTheme="minorHAnsi"/>
                <w:color w:val="232323" w:themeColor="text1" w:themeTint="E6"/>
                <w:sz w:val="22"/>
                <w:szCs w:val="22"/>
              </w:rPr>
              <w:t>Detecting and managing CD patient within a 'cohort of super allergic population</w:t>
            </w:r>
            <w:r w:rsidRPr="00C24350">
              <w:rPr>
                <w:rFonts w:asciiTheme="minorHAnsi" w:hAnsiTheme="minorHAnsi"/>
                <w:color w:val="232323" w:themeColor="text1" w:themeTint="E6"/>
                <w:sz w:val="22"/>
                <w:szCs w:val="22"/>
              </w:rPr>
              <w:t>”</w:t>
            </w:r>
          </w:p>
        </w:tc>
      </w:tr>
      <w:tr w:rsidR="00156013" w:rsidRPr="00EE2947" w:rsidTr="00C173F9">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StandardWhite"/>
              <w:spacing w:line="276" w:lineRule="auto"/>
              <w:rPr>
                <w:sz w:val="22"/>
                <w:szCs w:val="22"/>
              </w:rPr>
            </w:pPr>
            <w:r w:rsidRPr="00C173F9">
              <w:rPr>
                <w:rFonts w:eastAsiaTheme="minorHAnsi" w:cstheme="minorBidi"/>
                <w:b/>
                <w:bCs/>
                <w:iCs/>
                <w:noProof/>
                <w:sz w:val="22"/>
                <w:szCs w:val="22"/>
                <w:lang w:val="en-GB" w:eastAsia="de-AT"/>
              </w:rPr>
              <w:t>Responsible partner (PP name and number)</w:t>
            </w:r>
          </w:p>
        </w:tc>
        <w:tc>
          <w:tcPr>
            <w:tcW w:w="5529" w:type="dxa"/>
          </w:tcPr>
          <w:p w:rsidR="00156013" w:rsidRPr="00C24350" w:rsidRDefault="00BA3670" w:rsidP="00BF2027">
            <w:pPr>
              <w:pStyle w:val="CE-TableStandard"/>
              <w:spacing w:line="276" w:lineRule="auto"/>
              <w:cnfStyle w:val="000000000000" w:firstRow="0" w:lastRow="0" w:firstColumn="0" w:lastColumn="0" w:oddVBand="0" w:evenVBand="0" w:oddHBand="0" w:evenHBand="0" w:firstRowFirstColumn="0" w:firstRowLastColumn="0" w:lastRowFirstColumn="0" w:lastRowLastColumn="0"/>
              <w:rPr>
                <w:color w:val="232323" w:themeColor="text1" w:themeTint="E6"/>
                <w:sz w:val="22"/>
                <w:szCs w:val="22"/>
                <w:lang w:val="it-IT"/>
              </w:rPr>
            </w:pPr>
            <w:r w:rsidRPr="00A64C2B">
              <w:rPr>
                <w:color w:val="232323" w:themeColor="text1" w:themeTint="E6"/>
                <w:sz w:val="22"/>
                <w:szCs w:val="22"/>
              </w:rPr>
              <w:t xml:space="preserve"> </w:t>
            </w:r>
            <w:r w:rsidR="008E0D30" w:rsidRPr="00C24350">
              <w:rPr>
                <w:color w:val="232323" w:themeColor="text1" w:themeTint="E6"/>
                <w:sz w:val="22"/>
                <w:szCs w:val="22"/>
                <w:lang w:val="it-IT"/>
              </w:rPr>
              <w:t>PP5 University of Trieste</w:t>
            </w:r>
            <w:r w:rsidR="00C24350" w:rsidRPr="00C24350">
              <w:rPr>
                <w:color w:val="232323" w:themeColor="text1" w:themeTint="E6"/>
                <w:sz w:val="22"/>
                <w:szCs w:val="22"/>
                <w:lang w:val="it-IT"/>
              </w:rPr>
              <w:t xml:space="preserve"> </w:t>
            </w:r>
            <w:proofErr w:type="spellStart"/>
            <w:proofErr w:type="gramStart"/>
            <w:r w:rsidR="00C24350" w:rsidRPr="00C24350">
              <w:rPr>
                <w:color w:val="232323" w:themeColor="text1" w:themeTint="E6"/>
                <w:sz w:val="22"/>
                <w:szCs w:val="22"/>
                <w:lang w:val="it-IT"/>
              </w:rPr>
              <w:t>Italy</w:t>
            </w:r>
            <w:proofErr w:type="spellEnd"/>
            <w:r w:rsidR="00C24350" w:rsidRPr="00C24350">
              <w:rPr>
                <w:color w:val="232323" w:themeColor="text1" w:themeTint="E6"/>
                <w:sz w:val="22"/>
                <w:szCs w:val="22"/>
                <w:lang w:val="it-IT"/>
              </w:rPr>
              <w:t xml:space="preserve">  -</w:t>
            </w:r>
            <w:proofErr w:type="gramEnd"/>
            <w:r w:rsidR="00C24350" w:rsidRPr="00C24350">
              <w:rPr>
                <w:color w:val="232323" w:themeColor="text1" w:themeTint="E6"/>
                <w:sz w:val="22"/>
                <w:szCs w:val="22"/>
                <w:lang w:val="it-IT"/>
              </w:rPr>
              <w:t xml:space="preserve"> Sblattero Daniele</w:t>
            </w:r>
          </w:p>
        </w:tc>
      </w:tr>
      <w:tr w:rsidR="00F102B2" w:rsidRPr="00F102B2" w:rsidTr="00C17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F102B2" w:rsidRPr="00C173F9" w:rsidRDefault="00F102B2" w:rsidP="00BF2027">
            <w:pPr>
              <w:pStyle w:val="CE-TableStandardWhite"/>
              <w:spacing w:line="276" w:lineRule="auto"/>
              <w:rPr>
                <w:rFonts w:eastAsiaTheme="minorHAnsi" w:cstheme="minorBidi"/>
                <w:iCs/>
                <w:noProof/>
                <w:sz w:val="22"/>
                <w:szCs w:val="22"/>
                <w:lang w:val="en-GB" w:eastAsia="de-AT"/>
              </w:rPr>
            </w:pPr>
            <w:r w:rsidRPr="00C173F9">
              <w:rPr>
                <w:rFonts w:eastAsiaTheme="minorHAnsi" w:cstheme="minorBidi"/>
                <w:b/>
                <w:bCs/>
                <w:iCs/>
                <w:noProof/>
                <w:sz w:val="22"/>
                <w:szCs w:val="22"/>
                <w:lang w:val="en-GB" w:eastAsia="de-AT"/>
              </w:rPr>
              <w:t>Project website</w:t>
            </w:r>
          </w:p>
        </w:tc>
        <w:tc>
          <w:tcPr>
            <w:tcW w:w="5529" w:type="dxa"/>
          </w:tcPr>
          <w:p w:rsidR="00F102B2" w:rsidRPr="00C24350" w:rsidRDefault="000777DF" w:rsidP="00BF2027">
            <w:pPr>
              <w:pStyle w:val="CE-TableStandard"/>
              <w:spacing w:line="276" w:lineRule="auto"/>
              <w:cnfStyle w:val="000000100000" w:firstRow="0" w:lastRow="0" w:firstColumn="0" w:lastColumn="0" w:oddVBand="0" w:evenVBand="0" w:oddHBand="1" w:evenHBand="0" w:firstRowFirstColumn="0" w:firstRowLastColumn="0" w:lastRowFirstColumn="0" w:lastRowLastColumn="0"/>
              <w:rPr>
                <w:sz w:val="22"/>
                <w:szCs w:val="22"/>
              </w:rPr>
            </w:pPr>
            <w:hyperlink r:id="rId8" w:history="1">
              <w:r w:rsidR="00BA3670" w:rsidRPr="00C24350">
                <w:rPr>
                  <w:rStyle w:val="Collegamentoipertestuale"/>
                  <w:sz w:val="22"/>
                  <w:szCs w:val="22"/>
                </w:rPr>
                <w:t>https://www.interreg-central.eu/Content.Node/Focus-IN-CD.html</w:t>
              </w:r>
            </w:hyperlink>
          </w:p>
        </w:tc>
      </w:tr>
      <w:tr w:rsidR="00156013" w:rsidRPr="00156013" w:rsidTr="00C173F9">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rsidR="00156013" w:rsidRPr="00C173F9" w:rsidRDefault="00156013" w:rsidP="00BF2027">
            <w:pPr>
              <w:pStyle w:val="CE-TableStandardWhite"/>
              <w:spacing w:line="276" w:lineRule="auto"/>
              <w:rPr>
                <w:rFonts w:eastAsiaTheme="minorHAnsi" w:cstheme="minorBidi"/>
                <w:b/>
                <w:bCs/>
                <w:iCs/>
                <w:noProof/>
                <w:sz w:val="22"/>
                <w:szCs w:val="22"/>
                <w:lang w:val="en-GB" w:eastAsia="de-AT"/>
              </w:rPr>
            </w:pPr>
            <w:r w:rsidRPr="00C173F9">
              <w:rPr>
                <w:rFonts w:eastAsiaTheme="minorHAnsi" w:cstheme="minorBidi"/>
                <w:b/>
                <w:bCs/>
                <w:iCs/>
                <w:noProof/>
                <w:sz w:val="22"/>
                <w:szCs w:val="22"/>
                <w:lang w:val="en-GB" w:eastAsia="de-AT"/>
              </w:rPr>
              <w:t>Delivery date</w:t>
            </w:r>
          </w:p>
        </w:tc>
        <w:tc>
          <w:tcPr>
            <w:tcW w:w="5529" w:type="dxa"/>
          </w:tcPr>
          <w:p w:rsidR="00156013" w:rsidRPr="00C24350" w:rsidRDefault="00BA3670" w:rsidP="00BF2027">
            <w:pPr>
              <w:pStyle w:val="CE-TableStandard"/>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C24350">
              <w:rPr>
                <w:sz w:val="22"/>
                <w:szCs w:val="22"/>
              </w:rPr>
              <w:t>0</w:t>
            </w:r>
            <w:r w:rsidR="00C24350">
              <w:rPr>
                <w:sz w:val="22"/>
                <w:szCs w:val="22"/>
              </w:rPr>
              <w:t>1-</w:t>
            </w:r>
            <w:r w:rsidRPr="00C24350">
              <w:rPr>
                <w:sz w:val="22"/>
                <w:szCs w:val="22"/>
              </w:rPr>
              <w:t xml:space="preserve"> 2019</w:t>
            </w:r>
          </w:p>
        </w:tc>
      </w:tr>
    </w:tbl>
    <w:p w:rsidR="00156013" w:rsidRPr="00EA5FC7" w:rsidRDefault="00156013" w:rsidP="00BF2027">
      <w:pPr>
        <w:pStyle w:val="CE-StandardText"/>
        <w:tabs>
          <w:tab w:val="left" w:pos="1290"/>
        </w:tabs>
        <w:spacing w:line="276" w:lineRule="auto"/>
        <w:rPr>
          <w:sz w:val="4"/>
          <w:lang w:val="en-GB" w:eastAsia="de-AT"/>
        </w:rPr>
      </w:pPr>
    </w:p>
    <w:tbl>
      <w:tblPr>
        <w:tblStyle w:val="CE-Table2"/>
        <w:tblW w:w="9498" w:type="dxa"/>
        <w:tblInd w:w="108" w:type="dxa"/>
        <w:tblLook w:val="0420" w:firstRow="1" w:lastRow="0" w:firstColumn="0" w:lastColumn="0" w:noHBand="0" w:noVBand="1"/>
      </w:tblPr>
      <w:tblGrid>
        <w:gridCol w:w="9498"/>
      </w:tblGrid>
      <w:tr w:rsidR="007B6FAA" w:rsidRPr="00EE2947" w:rsidTr="00C173F9">
        <w:trPr>
          <w:cnfStyle w:val="100000000000" w:firstRow="1" w:lastRow="0" w:firstColumn="0" w:lastColumn="0" w:oddVBand="0" w:evenVBand="0" w:oddHBand="0" w:evenHBand="0" w:firstRowFirstColumn="0" w:firstRowLastColumn="0" w:lastRowFirstColumn="0" w:lastRowLastColumn="0"/>
          <w:cantSplit/>
          <w:trHeight w:val="315"/>
        </w:trPr>
        <w:tc>
          <w:tcPr>
            <w:tcW w:w="9498" w:type="dxa"/>
            <w:shd w:val="clear" w:color="auto" w:fill="63858D" w:themeFill="accent2" w:themeFillShade="BF"/>
            <w:tcMar>
              <w:top w:w="170" w:type="dxa"/>
              <w:bottom w:w="113" w:type="dxa"/>
            </w:tcMar>
          </w:tcPr>
          <w:p w:rsidR="007B6FAA" w:rsidRPr="007B6FAA" w:rsidRDefault="00F102B2"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Summary</w:t>
            </w:r>
            <w:r w:rsidR="007B6FAA" w:rsidRPr="007B6FAA">
              <w:rPr>
                <w:rFonts w:eastAsiaTheme="minorHAnsi" w:cstheme="minorBidi"/>
                <w:iCs/>
                <w:noProof/>
                <w:color w:val="FFFFFF" w:themeColor="background1"/>
                <w:sz w:val="22"/>
                <w:szCs w:val="24"/>
                <w:lang w:val="en-GB" w:eastAsia="de-AT"/>
              </w:rPr>
              <w:t xml:space="preserve"> description of the </w:t>
            </w:r>
            <w:r w:rsidR="00C57D52">
              <w:rPr>
                <w:rFonts w:eastAsiaTheme="minorHAnsi" w:cstheme="minorBidi"/>
                <w:iCs/>
                <w:noProof/>
                <w:color w:val="FFFFFF" w:themeColor="background1"/>
                <w:sz w:val="22"/>
                <w:szCs w:val="24"/>
                <w:lang w:val="en-GB" w:eastAsia="de-AT"/>
              </w:rPr>
              <w:t xml:space="preserve">pilot action </w:t>
            </w:r>
            <w:r w:rsidR="00094F0C">
              <w:rPr>
                <w:rFonts w:eastAsiaTheme="minorHAnsi" w:cstheme="minorBidi"/>
                <w:iCs/>
                <w:noProof/>
                <w:color w:val="FFFFFF" w:themeColor="background1"/>
                <w:sz w:val="22"/>
                <w:szCs w:val="24"/>
                <w:lang w:val="en-GB" w:eastAsia="de-AT"/>
              </w:rPr>
              <w:t xml:space="preserve">explaining </w:t>
            </w:r>
            <w:r w:rsidR="00C57D52">
              <w:rPr>
                <w:rFonts w:eastAsiaTheme="minorHAnsi" w:cstheme="minorBidi"/>
                <w:iCs/>
                <w:noProof/>
                <w:color w:val="FFFFFF" w:themeColor="background1"/>
                <w:sz w:val="22"/>
                <w:szCs w:val="24"/>
                <w:lang w:val="en-GB" w:eastAsia="de-AT"/>
              </w:rPr>
              <w:t xml:space="preserve">its </w:t>
            </w:r>
            <w:r w:rsidR="00094F0C">
              <w:rPr>
                <w:rFonts w:eastAsiaTheme="minorHAnsi" w:cstheme="minorBidi"/>
                <w:iCs/>
                <w:noProof/>
                <w:color w:val="FFFFFF" w:themeColor="background1"/>
                <w:sz w:val="22"/>
                <w:szCs w:val="24"/>
                <w:lang w:val="en-GB" w:eastAsia="de-AT"/>
              </w:rPr>
              <w:t xml:space="preserve">experimental nature and </w:t>
            </w:r>
            <w:r w:rsidR="00C57D52">
              <w:rPr>
                <w:rFonts w:eastAsiaTheme="minorHAnsi" w:cstheme="minorBidi"/>
                <w:iCs/>
                <w:noProof/>
                <w:color w:val="FFFFFF" w:themeColor="background1"/>
                <w:sz w:val="22"/>
                <w:szCs w:val="24"/>
                <w:lang w:val="en-GB" w:eastAsia="de-AT"/>
              </w:rPr>
              <w:t>demonstration character</w:t>
            </w:r>
            <w:r w:rsidR="00EA5FC7">
              <w:rPr>
                <w:rFonts w:eastAsiaTheme="minorHAnsi" w:cstheme="minorBidi"/>
                <w:iCs/>
                <w:noProof/>
                <w:color w:val="FFFFFF" w:themeColor="background1"/>
                <w:sz w:val="22"/>
                <w:szCs w:val="24"/>
                <w:lang w:val="en-GB" w:eastAsia="de-AT"/>
              </w:rPr>
              <w:t xml:space="preserve"> </w:t>
            </w:r>
          </w:p>
        </w:tc>
      </w:tr>
      <w:tr w:rsidR="007B6FAA" w:rsidRPr="00CA5EA6" w:rsidTr="00094F0C">
        <w:trPr>
          <w:cnfStyle w:val="000000100000" w:firstRow="0" w:lastRow="0" w:firstColumn="0" w:lastColumn="0" w:oddVBand="0" w:evenVBand="0" w:oddHBand="1" w:evenHBand="0" w:firstRowFirstColumn="0" w:firstRowLastColumn="0" w:lastRowFirstColumn="0" w:lastRowLastColumn="0"/>
          <w:cantSplit/>
          <w:trHeight w:val="3953"/>
        </w:trPr>
        <w:tc>
          <w:tcPr>
            <w:tcW w:w="9498" w:type="dxa"/>
            <w:shd w:val="clear" w:color="auto" w:fill="E4E7E7" w:themeFill="accent1" w:themeFillTint="33"/>
            <w:tcMar>
              <w:top w:w="170" w:type="dxa"/>
              <w:bottom w:w="113" w:type="dxa"/>
            </w:tcMar>
          </w:tcPr>
          <w:p w:rsidR="00E31BB7" w:rsidRPr="00E31BB7" w:rsidRDefault="008E0D30" w:rsidP="008E0D30">
            <w:pPr>
              <w:pStyle w:val="CE-BulletPoint2"/>
              <w:numPr>
                <w:ilvl w:val="0"/>
                <w:numId w:val="0"/>
              </w:numPr>
              <w:spacing w:line="360" w:lineRule="auto"/>
              <w:ind w:right="140"/>
              <w:jc w:val="both"/>
              <w:rPr>
                <w:color w:val="232323" w:themeColor="text1" w:themeTint="E6"/>
                <w:sz w:val="22"/>
                <w:szCs w:val="22"/>
                <w:lang w:eastAsia="hu-HU"/>
              </w:rPr>
            </w:pPr>
            <w:r w:rsidRPr="00E31BB7">
              <w:rPr>
                <w:color w:val="232323" w:themeColor="text1" w:themeTint="E6"/>
                <w:sz w:val="22"/>
                <w:szCs w:val="22"/>
                <w:lang w:eastAsia="hu-HU"/>
              </w:rPr>
              <w:lastRenderedPageBreak/>
              <w:t xml:space="preserve">We have preliminary data confirming that </w:t>
            </w:r>
            <w:r w:rsidR="00E31BB7" w:rsidRPr="00E31BB7">
              <w:rPr>
                <w:color w:val="232323" w:themeColor="text1" w:themeTint="E6"/>
                <w:sz w:val="22"/>
                <w:szCs w:val="22"/>
                <w:lang w:eastAsia="hu-HU"/>
              </w:rPr>
              <w:t>“</w:t>
            </w:r>
            <w:r w:rsidRPr="00E31BB7">
              <w:rPr>
                <w:color w:val="232323" w:themeColor="text1" w:themeTint="E6"/>
                <w:sz w:val="22"/>
                <w:szCs w:val="22"/>
                <w:lang w:eastAsia="hu-HU"/>
              </w:rPr>
              <w:t>super allergic</w:t>
            </w:r>
            <w:r w:rsidR="00E31BB7" w:rsidRPr="00E31BB7">
              <w:rPr>
                <w:color w:val="232323" w:themeColor="text1" w:themeTint="E6"/>
                <w:sz w:val="22"/>
                <w:szCs w:val="22"/>
                <w:lang w:eastAsia="hu-HU"/>
              </w:rPr>
              <w:t>”</w:t>
            </w:r>
            <w:r w:rsidRPr="00E31BB7">
              <w:rPr>
                <w:color w:val="232323" w:themeColor="text1" w:themeTint="E6"/>
                <w:sz w:val="22"/>
                <w:szCs w:val="22"/>
                <w:lang w:eastAsia="hu-HU"/>
              </w:rPr>
              <w:t xml:space="preserve"> patients have an increase frequency of CD</w:t>
            </w:r>
            <w:r w:rsidR="00E31BB7" w:rsidRPr="00E31BB7">
              <w:rPr>
                <w:color w:val="232323" w:themeColor="text1" w:themeTint="E6"/>
                <w:sz w:val="22"/>
                <w:szCs w:val="22"/>
                <w:lang w:eastAsia="hu-HU"/>
              </w:rPr>
              <w:t>.</w:t>
            </w:r>
          </w:p>
          <w:p w:rsidR="00E31BB7" w:rsidRPr="00E31BB7" w:rsidRDefault="008E0D30" w:rsidP="008E0D30">
            <w:pPr>
              <w:pStyle w:val="CE-BulletPoint2"/>
              <w:numPr>
                <w:ilvl w:val="0"/>
                <w:numId w:val="0"/>
              </w:numPr>
              <w:spacing w:line="360" w:lineRule="auto"/>
              <w:ind w:right="140"/>
              <w:jc w:val="both"/>
              <w:rPr>
                <w:color w:val="232323" w:themeColor="text1" w:themeTint="E6"/>
                <w:sz w:val="22"/>
                <w:szCs w:val="22"/>
                <w:lang w:eastAsia="hu-HU"/>
              </w:rPr>
            </w:pPr>
            <w:r w:rsidRPr="00E31BB7">
              <w:rPr>
                <w:color w:val="232323" w:themeColor="text1" w:themeTint="E6"/>
                <w:sz w:val="22"/>
                <w:szCs w:val="22"/>
                <w:lang w:eastAsia="hu-HU"/>
              </w:rPr>
              <w:t xml:space="preserve">By putting together different expertise such as allergologists, </w:t>
            </w:r>
            <w:r w:rsidR="00E31BB7" w:rsidRPr="00E31BB7">
              <w:rPr>
                <w:color w:val="232323" w:themeColor="text1" w:themeTint="E6"/>
                <w:sz w:val="22"/>
                <w:szCs w:val="22"/>
                <w:lang w:eastAsia="hu-HU"/>
              </w:rPr>
              <w:t xml:space="preserve">paediatric </w:t>
            </w:r>
            <w:r w:rsidRPr="00E31BB7">
              <w:rPr>
                <w:color w:val="232323" w:themeColor="text1" w:themeTint="E6"/>
                <w:sz w:val="22"/>
                <w:szCs w:val="22"/>
                <w:lang w:eastAsia="hu-HU"/>
              </w:rPr>
              <w:t>GI and biotechnologist our aim was to speed up patients’ collection and analysis to confirm data.</w:t>
            </w:r>
          </w:p>
          <w:p w:rsidR="00E31BB7" w:rsidRPr="00E31BB7" w:rsidRDefault="008E0D30" w:rsidP="008E0D30">
            <w:pPr>
              <w:pStyle w:val="CE-BulletPoint2"/>
              <w:numPr>
                <w:ilvl w:val="0"/>
                <w:numId w:val="0"/>
              </w:numPr>
              <w:spacing w:line="360" w:lineRule="auto"/>
              <w:ind w:right="140"/>
              <w:jc w:val="both"/>
              <w:rPr>
                <w:rFonts w:cs="Arial"/>
                <w:color w:val="232323" w:themeColor="text1" w:themeTint="E6"/>
                <w:sz w:val="22"/>
                <w:szCs w:val="22"/>
              </w:rPr>
            </w:pPr>
            <w:r w:rsidRPr="00E31BB7">
              <w:rPr>
                <w:color w:val="232323" w:themeColor="text1" w:themeTint="E6"/>
                <w:sz w:val="22"/>
                <w:szCs w:val="22"/>
                <w:lang w:eastAsia="hu-HU"/>
              </w:rPr>
              <w:t>This study had the aim to</w:t>
            </w:r>
            <w:r w:rsidRPr="00E31BB7">
              <w:rPr>
                <w:color w:val="232323" w:themeColor="text1" w:themeTint="E6"/>
                <w:sz w:val="22"/>
                <w:szCs w:val="22"/>
              </w:rPr>
              <w:t xml:space="preserve"> identify a new clinical condition at </w:t>
            </w:r>
            <w:r w:rsidRPr="00E31BB7">
              <w:rPr>
                <w:rFonts w:cs="Arial"/>
                <w:color w:val="232323" w:themeColor="text1" w:themeTint="E6"/>
                <w:sz w:val="22"/>
                <w:szCs w:val="22"/>
              </w:rPr>
              <w:t xml:space="preserve">risk of CD, which calls for screening in </w:t>
            </w:r>
            <w:r w:rsidRPr="00E31BB7">
              <w:rPr>
                <w:rFonts w:cs="Arial"/>
                <w:color w:val="232323" w:themeColor="text1" w:themeTint="E6"/>
                <w:sz w:val="22"/>
                <w:szCs w:val="22"/>
                <w:lang w:eastAsia="hu-HU"/>
              </w:rPr>
              <w:t xml:space="preserve">other hospitals within the region and to other health care institutions in </w:t>
            </w:r>
            <w:r w:rsidRPr="00E31BB7">
              <w:rPr>
                <w:rFonts w:cs="Arial"/>
                <w:color w:val="232323" w:themeColor="text1" w:themeTint="E6"/>
                <w:sz w:val="22"/>
                <w:szCs w:val="22"/>
              </w:rPr>
              <w:t>order to prevent possible complications of untreated CD.</w:t>
            </w:r>
          </w:p>
          <w:p w:rsidR="00E31BB7" w:rsidRPr="00E31BB7" w:rsidRDefault="00E31BB7" w:rsidP="00E31BB7">
            <w:pPr>
              <w:pStyle w:val="CE-StandardText"/>
              <w:rPr>
                <w:color w:val="232323" w:themeColor="text1" w:themeTint="E6"/>
                <w:sz w:val="22"/>
                <w:szCs w:val="22"/>
              </w:rPr>
            </w:pPr>
            <w:r w:rsidRPr="00E31BB7">
              <w:rPr>
                <w:color w:val="232323" w:themeColor="text1" w:themeTint="E6"/>
                <w:sz w:val="22"/>
                <w:szCs w:val="22"/>
              </w:rPr>
              <w:t>Our activities performed are listed below:</w:t>
            </w:r>
          </w:p>
          <w:p w:rsidR="00E31BB7" w:rsidRPr="00E31BB7" w:rsidRDefault="00E31BB7" w:rsidP="00E31BB7">
            <w:pPr>
              <w:pStyle w:val="CE-StandardText"/>
              <w:rPr>
                <w:rFonts w:cs="Arial"/>
                <w:color w:val="232323" w:themeColor="text1" w:themeTint="E6"/>
                <w:sz w:val="22"/>
                <w:szCs w:val="22"/>
              </w:rPr>
            </w:pPr>
            <w:r w:rsidRPr="00E31BB7">
              <w:rPr>
                <w:rFonts w:cs="Arial"/>
                <w:color w:val="232323" w:themeColor="text1" w:themeTint="E6"/>
                <w:sz w:val="22"/>
                <w:szCs w:val="22"/>
              </w:rPr>
              <w:t>- we have enrolled a total of one hundred and twenty children (72 M, 48 F, mean age 10±3 years) with very severe food allergy (98 with cow’s milk allergy, 48 with egg allergy, 15 with wheat allergy).</w:t>
            </w:r>
          </w:p>
          <w:p w:rsidR="00E31BB7" w:rsidRPr="00E31BB7" w:rsidRDefault="00E31BB7" w:rsidP="00E31BB7">
            <w:pPr>
              <w:pStyle w:val="CE-StandardText"/>
              <w:rPr>
                <w:rFonts w:cs="Arial"/>
                <w:color w:val="232323" w:themeColor="text1" w:themeTint="E6"/>
                <w:sz w:val="22"/>
                <w:szCs w:val="22"/>
              </w:rPr>
            </w:pPr>
            <w:r w:rsidRPr="00E31BB7">
              <w:rPr>
                <w:rFonts w:cs="Arial"/>
                <w:color w:val="232323" w:themeColor="text1" w:themeTint="E6"/>
                <w:sz w:val="22"/>
                <w:szCs w:val="22"/>
              </w:rPr>
              <w:t xml:space="preserve">Serum samples were analyzed </w:t>
            </w:r>
          </w:p>
          <w:p w:rsidR="00E31BB7" w:rsidRPr="00E31BB7" w:rsidRDefault="00E31BB7" w:rsidP="00E31BB7">
            <w:pPr>
              <w:pStyle w:val="CE-StandardText"/>
              <w:rPr>
                <w:rFonts w:cs="Arial"/>
                <w:color w:val="232323" w:themeColor="text1" w:themeTint="E6"/>
                <w:sz w:val="22"/>
                <w:szCs w:val="22"/>
              </w:rPr>
            </w:pPr>
            <w:r w:rsidRPr="00E31BB7">
              <w:rPr>
                <w:rFonts w:cs="Arial"/>
                <w:color w:val="232323" w:themeColor="text1" w:themeTint="E6"/>
                <w:sz w:val="22"/>
                <w:szCs w:val="22"/>
              </w:rPr>
              <w:t xml:space="preserve">- for IgA anti-endomysium antibodies (AEA) </w:t>
            </w:r>
          </w:p>
          <w:p w:rsidR="00E31BB7" w:rsidRPr="00E31BB7" w:rsidRDefault="00E31BB7" w:rsidP="00E31BB7">
            <w:pPr>
              <w:pStyle w:val="CE-StandardText"/>
              <w:rPr>
                <w:rFonts w:cs="Arial"/>
                <w:color w:val="232323" w:themeColor="text1" w:themeTint="E6"/>
                <w:sz w:val="22"/>
                <w:szCs w:val="22"/>
              </w:rPr>
            </w:pPr>
            <w:r w:rsidRPr="00E31BB7">
              <w:rPr>
                <w:rFonts w:cs="Arial"/>
                <w:color w:val="232323" w:themeColor="text1" w:themeTint="E6"/>
                <w:sz w:val="22"/>
                <w:szCs w:val="22"/>
              </w:rPr>
              <w:t xml:space="preserve">- IgA–IgG anti-TG2 antibodies </w:t>
            </w:r>
          </w:p>
          <w:p w:rsidR="00E31BB7" w:rsidRPr="00E31BB7" w:rsidRDefault="00E31BB7" w:rsidP="00E31BB7">
            <w:pPr>
              <w:pStyle w:val="CE-StandardText"/>
              <w:rPr>
                <w:rFonts w:cs="Arial"/>
                <w:color w:val="232323" w:themeColor="text1" w:themeTint="E6"/>
                <w:sz w:val="22"/>
                <w:szCs w:val="22"/>
              </w:rPr>
            </w:pPr>
            <w:r w:rsidRPr="00E31BB7">
              <w:rPr>
                <w:rFonts w:cs="Arial"/>
                <w:color w:val="232323" w:themeColor="text1" w:themeTint="E6"/>
                <w:sz w:val="22"/>
                <w:szCs w:val="22"/>
              </w:rPr>
              <w:t xml:space="preserve">- The susceptibility alleles for CD were determined by PCR </w:t>
            </w:r>
          </w:p>
          <w:p w:rsidR="00E31BB7" w:rsidRDefault="00E31BB7" w:rsidP="00E31BB7">
            <w:pPr>
              <w:pStyle w:val="CE-StandardText"/>
              <w:rPr>
                <w:rFonts w:cs="Arial"/>
                <w:color w:val="232323" w:themeColor="text1" w:themeTint="E6"/>
                <w:sz w:val="22"/>
                <w:szCs w:val="22"/>
              </w:rPr>
            </w:pPr>
          </w:p>
          <w:p w:rsidR="00E31BB7" w:rsidRDefault="00E31BB7" w:rsidP="00E31BB7">
            <w:pPr>
              <w:pStyle w:val="CE-StandardText"/>
              <w:rPr>
                <w:rFonts w:cs="Arial"/>
                <w:color w:val="232323" w:themeColor="text1" w:themeTint="E6"/>
                <w:sz w:val="22"/>
                <w:szCs w:val="22"/>
              </w:rPr>
            </w:pPr>
            <w:r w:rsidRPr="00E31BB7">
              <w:rPr>
                <w:rFonts w:cs="Arial"/>
                <w:color w:val="232323" w:themeColor="text1" w:themeTint="E6"/>
                <w:sz w:val="22"/>
                <w:szCs w:val="22"/>
              </w:rPr>
              <w:t xml:space="preserve">Intestinal biopsy was recommended to subjects testing positive to both the serologic and the genetic tests, </w:t>
            </w:r>
            <w:proofErr w:type="gramStart"/>
            <w:r w:rsidRPr="00E31BB7">
              <w:rPr>
                <w:rFonts w:cs="Arial"/>
                <w:color w:val="232323" w:themeColor="text1" w:themeTint="E6"/>
                <w:sz w:val="22"/>
                <w:szCs w:val="22"/>
              </w:rPr>
              <w:t>so as to</w:t>
            </w:r>
            <w:proofErr w:type="gramEnd"/>
            <w:r w:rsidRPr="00E31BB7">
              <w:rPr>
                <w:rFonts w:cs="Arial"/>
                <w:color w:val="232323" w:themeColor="text1" w:themeTint="E6"/>
                <w:sz w:val="22"/>
                <w:szCs w:val="22"/>
              </w:rPr>
              <w:t xml:space="preserve"> obtain definitive diagnosis of CD. </w:t>
            </w:r>
          </w:p>
          <w:p w:rsidR="00E31BB7" w:rsidRDefault="00E31BB7" w:rsidP="00E31BB7">
            <w:pPr>
              <w:pStyle w:val="CE-StandardText"/>
              <w:rPr>
                <w:rFonts w:cs="Arial"/>
                <w:color w:val="232323" w:themeColor="text1" w:themeTint="E6"/>
              </w:rPr>
            </w:pPr>
          </w:p>
          <w:p w:rsidR="00E31BB7" w:rsidRPr="0094562E" w:rsidRDefault="00E31BB7" w:rsidP="00E31BB7">
            <w:pPr>
              <w:autoSpaceDE w:val="0"/>
              <w:autoSpaceDN w:val="0"/>
              <w:adjustRightInd w:val="0"/>
              <w:spacing w:before="0"/>
              <w:ind w:left="0" w:right="140"/>
              <w:rPr>
                <w:rFonts w:cs="Arial"/>
                <w:sz w:val="22"/>
                <w:szCs w:val="22"/>
                <w:lang w:val="en-US"/>
              </w:rPr>
            </w:pPr>
            <w:r>
              <w:rPr>
                <w:rFonts w:cs="Arial"/>
                <w:sz w:val="22"/>
                <w:szCs w:val="22"/>
                <w:lang w:val="en-US"/>
              </w:rPr>
              <w:t xml:space="preserve">- </w:t>
            </w:r>
            <w:r w:rsidRPr="0094562E">
              <w:rPr>
                <w:rFonts w:cs="Arial"/>
                <w:sz w:val="22"/>
                <w:szCs w:val="22"/>
                <w:lang w:val="en-US"/>
              </w:rPr>
              <w:t xml:space="preserve">At the end of the study we find </w:t>
            </w:r>
            <w:r w:rsidRPr="00A62E07">
              <w:rPr>
                <w:rFonts w:cs="Arial"/>
                <w:b/>
                <w:sz w:val="22"/>
                <w:szCs w:val="22"/>
                <w:lang w:val="en-US"/>
              </w:rPr>
              <w:t>that Nine subjects</w:t>
            </w:r>
            <w:r w:rsidRPr="0094562E">
              <w:rPr>
                <w:rFonts w:cs="Arial"/>
                <w:sz w:val="22"/>
                <w:szCs w:val="22"/>
                <w:lang w:val="en-US"/>
              </w:rPr>
              <w:t xml:space="preserve"> (9/120, 7.5%, 6 M, 3 F) </w:t>
            </w:r>
            <w:r w:rsidRPr="00A62E07">
              <w:rPr>
                <w:rFonts w:cs="Arial"/>
                <w:b/>
                <w:sz w:val="22"/>
                <w:szCs w:val="22"/>
                <w:lang w:val="en-US"/>
              </w:rPr>
              <w:t>with severe food allergy tested positive for both the serological CD markers</w:t>
            </w:r>
            <w:r w:rsidRPr="0094562E">
              <w:rPr>
                <w:rFonts w:cs="Arial"/>
                <w:sz w:val="22"/>
                <w:szCs w:val="22"/>
                <w:lang w:val="en-US"/>
              </w:rPr>
              <w:t xml:space="preserve"> (AEA and anti-</w:t>
            </w:r>
            <w:proofErr w:type="spellStart"/>
            <w:r w:rsidRPr="0094562E">
              <w:rPr>
                <w:rFonts w:cs="Arial"/>
                <w:sz w:val="22"/>
                <w:szCs w:val="22"/>
                <w:lang w:val="en-US"/>
              </w:rPr>
              <w:t>tTG</w:t>
            </w:r>
            <w:proofErr w:type="spellEnd"/>
            <w:r w:rsidRPr="0094562E">
              <w:rPr>
                <w:rFonts w:cs="Arial"/>
                <w:sz w:val="22"/>
                <w:szCs w:val="22"/>
                <w:lang w:val="en-US"/>
              </w:rPr>
              <w:t>), and HLA DQ2/8 haplotypes.</w:t>
            </w:r>
          </w:p>
          <w:p w:rsidR="00E31BB7" w:rsidRPr="0094562E" w:rsidRDefault="00E31BB7" w:rsidP="00E31BB7">
            <w:pPr>
              <w:autoSpaceDE w:val="0"/>
              <w:autoSpaceDN w:val="0"/>
              <w:adjustRightInd w:val="0"/>
              <w:spacing w:before="0"/>
              <w:ind w:left="0" w:right="140"/>
              <w:rPr>
                <w:rFonts w:cs="Arial"/>
                <w:sz w:val="22"/>
                <w:szCs w:val="22"/>
                <w:lang w:val="en-US"/>
              </w:rPr>
            </w:pPr>
          </w:p>
          <w:p w:rsidR="00CA5EA6" w:rsidRPr="00E31BB7" w:rsidRDefault="00E31BB7" w:rsidP="00E31BB7">
            <w:pPr>
              <w:autoSpaceDE w:val="0"/>
              <w:autoSpaceDN w:val="0"/>
              <w:adjustRightInd w:val="0"/>
              <w:spacing w:before="0"/>
              <w:ind w:left="0" w:right="140"/>
              <w:rPr>
                <w:rFonts w:cs="Arial"/>
                <w:sz w:val="22"/>
                <w:szCs w:val="22"/>
                <w:lang w:val="en-US"/>
              </w:rPr>
            </w:pPr>
            <w:r w:rsidRPr="0094562E">
              <w:rPr>
                <w:rFonts w:cs="Arial"/>
                <w:sz w:val="22"/>
                <w:szCs w:val="22"/>
                <w:lang w:val="en"/>
              </w:rPr>
              <w:t xml:space="preserve">The results obtained so far reinforce the idea that </w:t>
            </w:r>
            <w:r w:rsidRPr="00A62E07">
              <w:rPr>
                <w:rFonts w:cs="Arial"/>
                <w:b/>
                <w:sz w:val="22"/>
                <w:szCs w:val="22"/>
                <w:lang w:val="en"/>
              </w:rPr>
              <w:t>active screening of celiac disease is necessary among those with severe allergy</w:t>
            </w:r>
            <w:r w:rsidRPr="0094562E">
              <w:rPr>
                <w:rFonts w:cs="Arial"/>
                <w:sz w:val="22"/>
                <w:szCs w:val="22"/>
                <w:lang w:val="en"/>
              </w:rPr>
              <w:t xml:space="preserve"> and that this practice should be included in the pediatrician clinical activity.</w:t>
            </w:r>
          </w:p>
        </w:tc>
      </w:tr>
    </w:tbl>
    <w:p w:rsidR="007B6FAA" w:rsidRDefault="007B6FAA"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F102B2" w:rsidRPr="00EE2947"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F102B2" w:rsidRPr="007B6FAA" w:rsidRDefault="00F102B2"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 xml:space="preserve">NUTS region(s) concerned by the </w:t>
            </w:r>
            <w:r w:rsidR="00C57D52">
              <w:rPr>
                <w:rFonts w:eastAsiaTheme="minorHAnsi" w:cstheme="minorBidi"/>
                <w:iCs/>
                <w:noProof/>
                <w:color w:val="FFFFFF" w:themeColor="background1"/>
                <w:sz w:val="22"/>
                <w:szCs w:val="24"/>
                <w:lang w:val="en-GB" w:eastAsia="de-AT"/>
              </w:rPr>
              <w:t>pilot action</w:t>
            </w:r>
            <w:r>
              <w:rPr>
                <w:rFonts w:eastAsiaTheme="minorHAnsi" w:cstheme="minorBidi"/>
                <w:iCs/>
                <w:noProof/>
                <w:color w:val="FFFFFF" w:themeColor="background1"/>
                <w:sz w:val="22"/>
                <w:szCs w:val="24"/>
                <w:lang w:val="en-GB" w:eastAsia="de-AT"/>
              </w:rPr>
              <w:t xml:space="preserve"> (relevant NUTS level)</w:t>
            </w:r>
          </w:p>
        </w:tc>
      </w:tr>
      <w:tr w:rsidR="00F102B2" w:rsidRPr="006E75EC" w:rsidTr="00094F0C">
        <w:trPr>
          <w:cnfStyle w:val="000000100000" w:firstRow="0" w:lastRow="0" w:firstColumn="0" w:lastColumn="0" w:oddVBand="0" w:evenVBand="0" w:oddHBand="1" w:evenHBand="0" w:firstRowFirstColumn="0" w:firstRowLastColumn="0" w:lastRowFirstColumn="0" w:lastRowLastColumn="0"/>
          <w:cantSplit/>
          <w:trHeight w:val="267"/>
        </w:trPr>
        <w:tc>
          <w:tcPr>
            <w:tcW w:w="9498" w:type="dxa"/>
            <w:shd w:val="clear" w:color="auto" w:fill="E4E7E7" w:themeFill="accent1" w:themeFillTint="33"/>
            <w:tcMar>
              <w:top w:w="170" w:type="dxa"/>
              <w:bottom w:w="113" w:type="dxa"/>
            </w:tcMar>
          </w:tcPr>
          <w:p w:rsidR="00F102B2" w:rsidRPr="005E299A" w:rsidRDefault="005E299A" w:rsidP="00BF2027">
            <w:pPr>
              <w:pStyle w:val="CE-TableStandard"/>
              <w:spacing w:line="276" w:lineRule="auto"/>
              <w:rPr>
                <w:rFonts w:asciiTheme="minorHAnsi" w:hAnsiTheme="minorHAnsi"/>
                <w:sz w:val="22"/>
                <w:szCs w:val="22"/>
              </w:rPr>
            </w:pPr>
            <w:r w:rsidRPr="005E299A">
              <w:rPr>
                <w:rFonts w:asciiTheme="minorHAnsi" w:hAnsiTheme="minorHAnsi"/>
                <w:sz w:val="22"/>
                <w:szCs w:val="22"/>
              </w:rPr>
              <w:lastRenderedPageBreak/>
              <w:t xml:space="preserve">The NUTS regions involved </w:t>
            </w:r>
            <w:r w:rsidR="00DE18F6">
              <w:rPr>
                <w:rFonts w:asciiTheme="minorHAnsi" w:hAnsiTheme="minorHAnsi"/>
                <w:sz w:val="22"/>
                <w:szCs w:val="22"/>
              </w:rPr>
              <w:t>in</w:t>
            </w:r>
            <w:r w:rsidRPr="005E299A">
              <w:rPr>
                <w:rFonts w:asciiTheme="minorHAnsi" w:hAnsiTheme="minorHAnsi"/>
                <w:sz w:val="22"/>
                <w:szCs w:val="22"/>
              </w:rPr>
              <w:t xml:space="preserve"> the pilot project are listed here below </w:t>
            </w:r>
          </w:p>
          <w:p w:rsidR="00B444D7" w:rsidRPr="005E299A" w:rsidRDefault="00B444D7" w:rsidP="00BF2027">
            <w:pPr>
              <w:pStyle w:val="CE-TableStandard"/>
              <w:spacing w:line="276" w:lineRule="auto"/>
              <w:rPr>
                <w:rFonts w:asciiTheme="minorHAnsi" w:hAnsiTheme="minorHAnsi"/>
                <w:sz w:val="22"/>
                <w:szCs w:val="22"/>
              </w:rPr>
            </w:pPr>
          </w:p>
          <w:p w:rsidR="00EF4C4A" w:rsidRPr="005E299A" w:rsidRDefault="00EF4C4A" w:rsidP="00EF4C4A">
            <w:pPr>
              <w:pStyle w:val="CE-TableStandard"/>
              <w:spacing w:line="276" w:lineRule="auto"/>
              <w:rPr>
                <w:rFonts w:asciiTheme="minorHAnsi" w:hAnsiTheme="minorHAnsi"/>
                <w:color w:val="000000"/>
                <w:sz w:val="22"/>
                <w:szCs w:val="22"/>
                <w:shd w:val="clear" w:color="auto" w:fill="FFFFFF"/>
              </w:rPr>
            </w:pPr>
            <w:r w:rsidRPr="005E299A">
              <w:rPr>
                <w:rFonts w:asciiTheme="minorHAnsi" w:hAnsiTheme="minorHAnsi"/>
                <w:b/>
                <w:color w:val="000000"/>
                <w:sz w:val="22"/>
                <w:szCs w:val="22"/>
                <w:lang w:eastAsia="it-IT"/>
              </w:rPr>
              <w:t xml:space="preserve">NUTS 1 ITC </w:t>
            </w:r>
            <w:r w:rsidRPr="005E299A">
              <w:rPr>
                <w:rFonts w:asciiTheme="minorHAnsi" w:hAnsiTheme="minorHAnsi"/>
                <w:color w:val="000000"/>
                <w:sz w:val="22"/>
                <w:szCs w:val="22"/>
                <w:lang w:eastAsia="it-IT"/>
              </w:rPr>
              <w:t>NORD-OVEST</w:t>
            </w:r>
          </w:p>
          <w:p w:rsidR="00EF4C4A" w:rsidRPr="005E299A" w:rsidRDefault="00EF4C4A" w:rsidP="00EF4C4A">
            <w:pPr>
              <w:pStyle w:val="CE-TableStandard"/>
              <w:spacing w:line="276" w:lineRule="auto"/>
              <w:rPr>
                <w:rFonts w:asciiTheme="minorHAnsi" w:hAnsiTheme="minorHAnsi"/>
                <w:b/>
                <w:color w:val="000000"/>
                <w:sz w:val="22"/>
                <w:szCs w:val="22"/>
                <w:lang w:eastAsia="it-IT"/>
              </w:rPr>
            </w:pPr>
            <w:r w:rsidRPr="005E299A">
              <w:rPr>
                <w:rFonts w:asciiTheme="minorHAnsi" w:hAnsiTheme="minorHAnsi"/>
                <w:b/>
                <w:color w:val="000000"/>
                <w:sz w:val="22"/>
                <w:szCs w:val="22"/>
                <w:lang w:eastAsia="it-IT"/>
              </w:rPr>
              <w:t xml:space="preserve">NUTS 2 ITC1 </w:t>
            </w:r>
            <w:r w:rsidRPr="005E299A">
              <w:rPr>
                <w:rFonts w:asciiTheme="minorHAnsi" w:hAnsiTheme="minorHAnsi"/>
                <w:color w:val="000000"/>
                <w:sz w:val="22"/>
                <w:szCs w:val="22"/>
                <w:lang w:eastAsia="it-IT"/>
              </w:rPr>
              <w:t xml:space="preserve">Piemonte </w:t>
            </w:r>
          </w:p>
          <w:p w:rsidR="00EF4C4A" w:rsidRPr="00A64C2B" w:rsidRDefault="00EF4C4A" w:rsidP="00EF4C4A">
            <w:pPr>
              <w:pStyle w:val="CE-TableStandard"/>
              <w:spacing w:line="276" w:lineRule="auto"/>
              <w:rPr>
                <w:rFonts w:asciiTheme="minorHAnsi" w:hAnsiTheme="minorHAnsi"/>
                <w:color w:val="000000"/>
                <w:sz w:val="22"/>
                <w:szCs w:val="22"/>
                <w:shd w:val="clear" w:color="auto" w:fill="FFFFFF"/>
                <w:lang w:val="it-IT"/>
              </w:rPr>
            </w:pPr>
            <w:r w:rsidRPr="00A64C2B">
              <w:rPr>
                <w:rFonts w:asciiTheme="minorHAnsi" w:hAnsiTheme="minorHAnsi"/>
                <w:b/>
                <w:color w:val="000000"/>
                <w:sz w:val="22"/>
                <w:szCs w:val="22"/>
                <w:lang w:val="it-IT" w:eastAsia="it-IT"/>
              </w:rPr>
              <w:t>NUTS 3 ITC15</w:t>
            </w:r>
            <w:r w:rsidRPr="00A64C2B">
              <w:rPr>
                <w:rFonts w:asciiTheme="minorHAnsi" w:hAnsiTheme="minorHAnsi"/>
                <w:color w:val="000000"/>
                <w:sz w:val="22"/>
                <w:szCs w:val="22"/>
                <w:lang w:val="it-IT" w:eastAsia="it-IT"/>
              </w:rPr>
              <w:t xml:space="preserve"> Novara </w:t>
            </w:r>
          </w:p>
          <w:p w:rsidR="00EF4C4A" w:rsidRPr="00A64C2B" w:rsidRDefault="00EF4C4A" w:rsidP="00EF4C4A">
            <w:pPr>
              <w:pStyle w:val="CE-TableStandard"/>
              <w:spacing w:line="276" w:lineRule="auto"/>
              <w:rPr>
                <w:rFonts w:asciiTheme="minorHAnsi" w:hAnsiTheme="minorHAnsi"/>
                <w:color w:val="000000"/>
                <w:sz w:val="22"/>
                <w:szCs w:val="22"/>
                <w:shd w:val="clear" w:color="auto" w:fill="FFFFFF"/>
                <w:lang w:val="it-IT"/>
              </w:rPr>
            </w:pPr>
          </w:p>
          <w:p w:rsidR="00EF4C4A" w:rsidRPr="00A64C2B" w:rsidRDefault="00EF4C4A" w:rsidP="00EF4C4A">
            <w:pPr>
              <w:pStyle w:val="CE-TableStandard"/>
              <w:spacing w:line="276" w:lineRule="auto"/>
              <w:rPr>
                <w:rFonts w:asciiTheme="minorHAnsi" w:hAnsiTheme="minorHAnsi"/>
                <w:color w:val="000000"/>
                <w:sz w:val="22"/>
                <w:szCs w:val="22"/>
                <w:shd w:val="clear" w:color="auto" w:fill="FFFFFF"/>
                <w:lang w:val="it-IT"/>
              </w:rPr>
            </w:pPr>
            <w:r w:rsidRPr="00A64C2B">
              <w:rPr>
                <w:rFonts w:asciiTheme="minorHAnsi" w:hAnsiTheme="minorHAnsi"/>
                <w:b/>
                <w:color w:val="000000"/>
                <w:sz w:val="22"/>
                <w:szCs w:val="22"/>
                <w:lang w:val="it-IT" w:eastAsia="it-IT"/>
              </w:rPr>
              <w:t xml:space="preserve">NUTS 1 ITH </w:t>
            </w:r>
            <w:r w:rsidRPr="00A64C2B">
              <w:rPr>
                <w:rFonts w:asciiTheme="minorHAnsi" w:hAnsiTheme="minorHAnsi"/>
                <w:color w:val="000000"/>
                <w:sz w:val="22"/>
                <w:szCs w:val="22"/>
                <w:lang w:val="it-IT" w:eastAsia="it-IT"/>
              </w:rPr>
              <w:t>NORD-EST</w:t>
            </w:r>
          </w:p>
          <w:p w:rsidR="00EF4C4A" w:rsidRPr="00A64C2B" w:rsidRDefault="00EF4C4A" w:rsidP="00EF4C4A">
            <w:pPr>
              <w:pStyle w:val="CE-TableStandard"/>
              <w:spacing w:line="276" w:lineRule="auto"/>
              <w:rPr>
                <w:rFonts w:asciiTheme="minorHAnsi" w:hAnsiTheme="minorHAnsi"/>
                <w:color w:val="000000"/>
                <w:sz w:val="22"/>
                <w:szCs w:val="22"/>
                <w:shd w:val="clear" w:color="auto" w:fill="FFFFFF"/>
                <w:lang w:val="it-IT"/>
              </w:rPr>
            </w:pPr>
            <w:r w:rsidRPr="00A64C2B">
              <w:rPr>
                <w:rFonts w:asciiTheme="minorHAnsi" w:hAnsiTheme="minorHAnsi"/>
                <w:b/>
                <w:color w:val="000000"/>
                <w:sz w:val="22"/>
                <w:szCs w:val="22"/>
                <w:lang w:val="it-IT" w:eastAsia="it-IT"/>
              </w:rPr>
              <w:t>NUTS 2</w:t>
            </w:r>
            <w:r w:rsidR="005E299A" w:rsidRPr="00A64C2B">
              <w:rPr>
                <w:rFonts w:asciiTheme="minorHAnsi" w:hAnsiTheme="minorHAnsi"/>
                <w:b/>
                <w:color w:val="000000"/>
                <w:sz w:val="22"/>
                <w:szCs w:val="22"/>
                <w:lang w:val="it-IT" w:eastAsia="it-IT"/>
              </w:rPr>
              <w:t xml:space="preserve"> ITH4 </w:t>
            </w:r>
            <w:r w:rsidR="005E299A" w:rsidRPr="00A64C2B">
              <w:rPr>
                <w:rFonts w:asciiTheme="minorHAnsi" w:hAnsiTheme="minorHAnsi"/>
                <w:color w:val="000000"/>
                <w:sz w:val="22"/>
                <w:szCs w:val="22"/>
                <w:lang w:val="it-IT" w:eastAsia="it-IT"/>
              </w:rPr>
              <w:t>Friuli-Venezia Giulia</w:t>
            </w:r>
          </w:p>
          <w:p w:rsidR="00EF4C4A" w:rsidRPr="005E299A" w:rsidRDefault="00EF4C4A" w:rsidP="00EF4C4A">
            <w:pPr>
              <w:pStyle w:val="CE-TableStandard"/>
              <w:spacing w:line="276" w:lineRule="auto"/>
              <w:rPr>
                <w:rFonts w:asciiTheme="minorHAnsi" w:hAnsiTheme="minorHAnsi"/>
                <w:color w:val="000000"/>
                <w:sz w:val="22"/>
                <w:szCs w:val="22"/>
                <w:lang w:eastAsia="it-IT"/>
              </w:rPr>
            </w:pPr>
            <w:r w:rsidRPr="005E299A">
              <w:rPr>
                <w:rFonts w:asciiTheme="minorHAnsi" w:hAnsiTheme="minorHAnsi"/>
                <w:b/>
                <w:color w:val="000000"/>
                <w:sz w:val="22"/>
                <w:szCs w:val="22"/>
                <w:lang w:eastAsia="it-IT"/>
              </w:rPr>
              <w:t>NUTS 3</w:t>
            </w:r>
            <w:r w:rsidR="005E299A" w:rsidRPr="005E299A">
              <w:rPr>
                <w:rFonts w:asciiTheme="minorHAnsi" w:hAnsiTheme="minorHAnsi"/>
                <w:b/>
                <w:color w:val="000000"/>
                <w:sz w:val="22"/>
                <w:szCs w:val="22"/>
                <w:lang w:eastAsia="it-IT"/>
              </w:rPr>
              <w:t xml:space="preserve"> </w:t>
            </w:r>
            <w:r w:rsidRPr="00B444D7">
              <w:rPr>
                <w:rFonts w:asciiTheme="minorHAnsi" w:hAnsiTheme="minorHAnsi"/>
                <w:b/>
                <w:color w:val="000000"/>
                <w:sz w:val="22"/>
                <w:szCs w:val="22"/>
                <w:lang w:eastAsia="it-IT"/>
              </w:rPr>
              <w:t>ITH44</w:t>
            </w:r>
            <w:r w:rsidRPr="005E299A">
              <w:rPr>
                <w:rFonts w:asciiTheme="minorHAnsi" w:hAnsiTheme="minorHAnsi"/>
                <w:color w:val="000000"/>
                <w:sz w:val="22"/>
                <w:szCs w:val="22"/>
                <w:lang w:eastAsia="it-IT"/>
              </w:rPr>
              <w:t xml:space="preserve"> </w:t>
            </w:r>
            <w:r w:rsidRPr="00B444D7">
              <w:rPr>
                <w:rFonts w:asciiTheme="minorHAnsi" w:hAnsiTheme="minorHAnsi"/>
                <w:color w:val="000000"/>
                <w:sz w:val="22"/>
                <w:szCs w:val="22"/>
                <w:lang w:eastAsia="it-IT"/>
              </w:rPr>
              <w:t>Trieste</w:t>
            </w:r>
          </w:p>
          <w:p w:rsidR="00EF4C4A" w:rsidRPr="005E299A" w:rsidRDefault="00EF4C4A" w:rsidP="00EF4C4A">
            <w:pPr>
              <w:pStyle w:val="CE-TableStandard"/>
              <w:spacing w:line="276" w:lineRule="auto"/>
              <w:rPr>
                <w:rFonts w:asciiTheme="minorHAnsi" w:hAnsiTheme="minorHAnsi"/>
                <w:color w:val="000000"/>
                <w:sz w:val="22"/>
                <w:szCs w:val="22"/>
                <w:lang w:eastAsia="it-IT"/>
              </w:rPr>
            </w:pPr>
            <w:r w:rsidRPr="005E299A">
              <w:rPr>
                <w:rFonts w:asciiTheme="minorHAnsi" w:hAnsiTheme="minorHAnsi"/>
                <w:b/>
                <w:color w:val="000000"/>
                <w:sz w:val="22"/>
                <w:szCs w:val="22"/>
                <w:lang w:eastAsia="it-IT"/>
              </w:rPr>
              <w:t>NUTS 3</w:t>
            </w:r>
            <w:r w:rsidR="005E299A" w:rsidRPr="005E299A">
              <w:rPr>
                <w:rFonts w:asciiTheme="minorHAnsi" w:hAnsiTheme="minorHAnsi"/>
                <w:b/>
                <w:color w:val="000000"/>
                <w:sz w:val="22"/>
                <w:szCs w:val="22"/>
                <w:lang w:eastAsia="it-IT"/>
              </w:rPr>
              <w:t xml:space="preserve"> ITH42 </w:t>
            </w:r>
            <w:r w:rsidR="005E299A" w:rsidRPr="005E299A">
              <w:rPr>
                <w:rFonts w:asciiTheme="minorHAnsi" w:hAnsiTheme="minorHAnsi"/>
                <w:color w:val="000000"/>
                <w:sz w:val="22"/>
                <w:szCs w:val="22"/>
                <w:lang w:eastAsia="it-IT"/>
              </w:rPr>
              <w:t xml:space="preserve">UDINE </w:t>
            </w:r>
          </w:p>
          <w:p w:rsidR="00B444D7" w:rsidRPr="00805D51" w:rsidRDefault="00B444D7" w:rsidP="00BF2027">
            <w:pPr>
              <w:pStyle w:val="CE-TableStandard"/>
              <w:spacing w:line="276" w:lineRule="auto"/>
            </w:pPr>
          </w:p>
        </w:tc>
      </w:tr>
    </w:tbl>
    <w:p w:rsidR="00F102B2" w:rsidRDefault="00F102B2"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EE2947"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8C68CF" w:rsidRPr="007B6FAA" w:rsidRDefault="00CA5EA6"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Expected i</w:t>
            </w:r>
            <w:r w:rsidR="008C68CF" w:rsidRPr="008C68CF">
              <w:rPr>
                <w:rFonts w:eastAsiaTheme="minorHAnsi" w:cstheme="minorBidi"/>
                <w:iCs/>
                <w:noProof/>
                <w:color w:val="FFFFFF" w:themeColor="background1"/>
                <w:sz w:val="22"/>
                <w:szCs w:val="24"/>
                <w:lang w:val="en-GB" w:eastAsia="de-AT"/>
              </w:rPr>
              <w:t xml:space="preserve">mpact and benefits of the </w:t>
            </w:r>
            <w:r w:rsidR="00C57D52">
              <w:rPr>
                <w:rFonts w:eastAsiaTheme="minorHAnsi" w:cstheme="minorBidi"/>
                <w:iCs/>
                <w:noProof/>
                <w:color w:val="FFFFFF" w:themeColor="background1"/>
                <w:sz w:val="22"/>
                <w:szCs w:val="24"/>
                <w:lang w:val="en-GB" w:eastAsia="de-AT"/>
              </w:rPr>
              <w:t>pilot action</w:t>
            </w:r>
            <w:r w:rsidR="00EA5FC7">
              <w:rPr>
                <w:rFonts w:eastAsiaTheme="minorHAnsi" w:cstheme="minorBidi"/>
                <w:iCs/>
                <w:noProof/>
                <w:color w:val="FFFFFF" w:themeColor="background1"/>
                <w:sz w:val="22"/>
                <w:szCs w:val="24"/>
                <w:lang w:val="en-GB" w:eastAsia="de-AT"/>
              </w:rPr>
              <w:t xml:space="preserve"> </w:t>
            </w:r>
            <w:r w:rsidR="008C68CF" w:rsidRPr="008C68CF">
              <w:rPr>
                <w:rFonts w:eastAsiaTheme="minorHAnsi" w:cstheme="minorBidi"/>
                <w:iCs/>
                <w:noProof/>
                <w:color w:val="FFFFFF" w:themeColor="background1"/>
                <w:sz w:val="22"/>
                <w:szCs w:val="24"/>
                <w:lang w:val="en-GB" w:eastAsia="de-AT"/>
              </w:rPr>
              <w:t>for the concerned territor</w:t>
            </w:r>
            <w:r w:rsidR="00C57D52">
              <w:rPr>
                <w:rFonts w:eastAsiaTheme="minorHAnsi" w:cstheme="minorBidi"/>
                <w:iCs/>
                <w:noProof/>
                <w:color w:val="FFFFFF" w:themeColor="background1"/>
                <w:sz w:val="22"/>
                <w:szCs w:val="24"/>
                <w:lang w:val="en-GB" w:eastAsia="de-AT"/>
              </w:rPr>
              <w:t>y</w:t>
            </w:r>
            <w:r w:rsidR="008C68CF" w:rsidRPr="008C68CF">
              <w:rPr>
                <w:rFonts w:eastAsiaTheme="minorHAnsi" w:cstheme="minorBidi"/>
                <w:iCs/>
                <w:noProof/>
                <w:color w:val="FFFFFF" w:themeColor="background1"/>
                <w:sz w:val="22"/>
                <w:szCs w:val="24"/>
                <w:lang w:val="en-GB" w:eastAsia="de-AT"/>
              </w:rPr>
              <w:t xml:space="preserve"> and target groups</w:t>
            </w:r>
          </w:p>
        </w:tc>
      </w:tr>
      <w:tr w:rsidR="008C68CF" w:rsidRPr="00CA5EA6" w:rsidTr="00094F0C">
        <w:trPr>
          <w:cnfStyle w:val="000000100000" w:firstRow="0" w:lastRow="0" w:firstColumn="0" w:lastColumn="0" w:oddVBand="0" w:evenVBand="0" w:oddHBand="1" w:evenHBand="0" w:firstRowFirstColumn="0" w:firstRowLastColumn="0" w:lastRowFirstColumn="0" w:lastRowLastColumn="0"/>
          <w:cantSplit/>
          <w:trHeight w:val="1609"/>
        </w:trPr>
        <w:tc>
          <w:tcPr>
            <w:tcW w:w="9498" w:type="dxa"/>
            <w:shd w:val="clear" w:color="auto" w:fill="E4E7E7" w:themeFill="accent1" w:themeFillTint="33"/>
            <w:tcMar>
              <w:top w:w="170" w:type="dxa"/>
              <w:bottom w:w="113" w:type="dxa"/>
            </w:tcMar>
          </w:tcPr>
          <w:p w:rsidR="00A46752" w:rsidRDefault="00A46752" w:rsidP="00913724">
            <w:pPr>
              <w:pStyle w:val="CE-TableStandard"/>
              <w:numPr>
                <w:ilvl w:val="0"/>
                <w:numId w:val="26"/>
              </w:numPr>
              <w:spacing w:line="276" w:lineRule="auto"/>
              <w:rPr>
                <w:color w:val="0C0C0C" w:themeColor="text1"/>
                <w:sz w:val="22"/>
                <w:szCs w:val="22"/>
                <w:lang w:val="en"/>
              </w:rPr>
            </w:pPr>
            <w:r>
              <w:rPr>
                <w:color w:val="0C0C0C" w:themeColor="text1"/>
                <w:sz w:val="22"/>
                <w:szCs w:val="22"/>
                <w:lang w:val="en"/>
              </w:rPr>
              <w:t>During this pilot action w</w:t>
            </w:r>
            <w:r w:rsidR="00B444D7" w:rsidRPr="0094562E">
              <w:rPr>
                <w:color w:val="0C0C0C" w:themeColor="text1"/>
                <w:sz w:val="22"/>
                <w:szCs w:val="22"/>
                <w:lang w:val="en"/>
              </w:rPr>
              <w:t xml:space="preserve">e have identified a new group at risk of celiac disease and diagnosed celiac patients that were unaware of their disease condition. </w:t>
            </w:r>
          </w:p>
          <w:p w:rsidR="00A46752" w:rsidRDefault="00B444D7" w:rsidP="00A46752">
            <w:pPr>
              <w:pStyle w:val="CE-TableStandard"/>
              <w:spacing w:line="276" w:lineRule="auto"/>
              <w:ind w:left="720"/>
              <w:rPr>
                <w:color w:val="0C0C0C" w:themeColor="text1"/>
                <w:sz w:val="22"/>
                <w:szCs w:val="22"/>
                <w:lang w:val="en"/>
              </w:rPr>
            </w:pPr>
            <w:r w:rsidRPr="0094562E">
              <w:rPr>
                <w:color w:val="0C0C0C" w:themeColor="text1"/>
                <w:sz w:val="22"/>
                <w:szCs w:val="22"/>
                <w:lang w:val="en"/>
              </w:rPr>
              <w:t xml:space="preserve"> </w:t>
            </w:r>
          </w:p>
          <w:p w:rsidR="00B444D7" w:rsidRDefault="00B444D7" w:rsidP="00913724">
            <w:pPr>
              <w:pStyle w:val="CE-TableStandard"/>
              <w:numPr>
                <w:ilvl w:val="0"/>
                <w:numId w:val="26"/>
              </w:numPr>
              <w:spacing w:line="276" w:lineRule="auto"/>
              <w:rPr>
                <w:color w:val="0C0C0C" w:themeColor="text1"/>
                <w:sz w:val="22"/>
                <w:szCs w:val="22"/>
              </w:rPr>
            </w:pPr>
            <w:r w:rsidRPr="0094562E">
              <w:rPr>
                <w:color w:val="0C0C0C" w:themeColor="text1"/>
                <w:sz w:val="22"/>
                <w:szCs w:val="22"/>
                <w:lang w:val="en"/>
              </w:rPr>
              <w:t xml:space="preserve">Our screening will help them </w:t>
            </w:r>
            <w:r w:rsidRPr="0094562E">
              <w:rPr>
                <w:color w:val="0C0C0C" w:themeColor="text1"/>
                <w:sz w:val="22"/>
                <w:szCs w:val="22"/>
              </w:rPr>
              <w:t>to better manage their condition, to gain knowledge of the disease, to reduce problems and disorders complications risks thanks to a strict diet compliance</w:t>
            </w:r>
            <w:r>
              <w:rPr>
                <w:color w:val="0C0C0C" w:themeColor="text1"/>
                <w:sz w:val="22"/>
                <w:szCs w:val="22"/>
              </w:rPr>
              <w:t>.</w:t>
            </w:r>
          </w:p>
          <w:p w:rsidR="00A46752" w:rsidRDefault="00A46752" w:rsidP="00BF2027">
            <w:pPr>
              <w:pStyle w:val="CE-TableStandard"/>
              <w:spacing w:line="276" w:lineRule="auto"/>
              <w:rPr>
                <w:color w:val="0C0C0C" w:themeColor="text1"/>
                <w:sz w:val="22"/>
                <w:szCs w:val="22"/>
                <w:lang w:val="en"/>
              </w:rPr>
            </w:pPr>
          </w:p>
          <w:p w:rsidR="00B444D7" w:rsidRDefault="00B444D7" w:rsidP="00913724">
            <w:pPr>
              <w:pStyle w:val="CE-TableStandard"/>
              <w:numPr>
                <w:ilvl w:val="0"/>
                <w:numId w:val="26"/>
              </w:numPr>
              <w:spacing w:line="276" w:lineRule="auto"/>
              <w:rPr>
                <w:color w:val="0C0C0C" w:themeColor="text1"/>
                <w:sz w:val="22"/>
                <w:szCs w:val="22"/>
                <w:lang w:val="en"/>
              </w:rPr>
            </w:pPr>
            <w:r w:rsidRPr="0094562E">
              <w:rPr>
                <w:color w:val="0C0C0C" w:themeColor="text1"/>
                <w:sz w:val="22"/>
                <w:szCs w:val="22"/>
                <w:lang w:val="en"/>
              </w:rPr>
              <w:t xml:space="preserve">We have confirmed that a specific population of patients (super allergic) have a higher risk of presenting as associated disorder CD. This will lead, by the help of HCPs and stakeholders, to share new CD-diagnostic guidelines.  </w:t>
            </w:r>
          </w:p>
          <w:p w:rsidR="00A46752" w:rsidRDefault="00A46752" w:rsidP="00BF2027">
            <w:pPr>
              <w:pStyle w:val="CE-TableStandard"/>
              <w:spacing w:line="276" w:lineRule="auto"/>
              <w:rPr>
                <w:color w:val="0C0C0C" w:themeColor="text1"/>
                <w:sz w:val="22"/>
                <w:szCs w:val="22"/>
                <w:lang w:val="en"/>
              </w:rPr>
            </w:pPr>
          </w:p>
          <w:p w:rsidR="00B444D7" w:rsidRDefault="00B444D7" w:rsidP="00913724">
            <w:pPr>
              <w:pStyle w:val="CE-TableStandard"/>
              <w:numPr>
                <w:ilvl w:val="0"/>
                <w:numId w:val="26"/>
              </w:numPr>
              <w:spacing w:line="276" w:lineRule="auto"/>
              <w:rPr>
                <w:color w:val="0C0C0C" w:themeColor="text1"/>
                <w:sz w:val="22"/>
                <w:szCs w:val="22"/>
                <w:lang w:val="en"/>
              </w:rPr>
            </w:pPr>
            <w:r w:rsidRPr="0094562E">
              <w:rPr>
                <w:color w:val="0C0C0C" w:themeColor="text1"/>
                <w:sz w:val="22"/>
                <w:szCs w:val="22"/>
                <w:lang w:val="en"/>
              </w:rPr>
              <w:t xml:space="preserve">We have shared our knowledge on the allergy/CD relation with pediatricians and allergologists of the </w:t>
            </w:r>
            <w:r w:rsidR="00A62E07">
              <w:rPr>
                <w:color w:val="0C0C0C" w:themeColor="text1"/>
                <w:sz w:val="22"/>
                <w:szCs w:val="22"/>
                <w:lang w:val="en"/>
              </w:rPr>
              <w:t xml:space="preserve">involved </w:t>
            </w:r>
            <w:r w:rsidRPr="0094562E">
              <w:rPr>
                <w:color w:val="0C0C0C" w:themeColor="text1"/>
                <w:sz w:val="22"/>
                <w:szCs w:val="22"/>
                <w:lang w:val="en"/>
              </w:rPr>
              <w:t>region</w:t>
            </w:r>
            <w:r w:rsidR="00A62E07">
              <w:rPr>
                <w:color w:val="0C0C0C" w:themeColor="text1"/>
                <w:sz w:val="22"/>
                <w:szCs w:val="22"/>
                <w:lang w:val="en"/>
              </w:rPr>
              <w:t>s</w:t>
            </w:r>
            <w:r w:rsidRPr="0094562E">
              <w:rPr>
                <w:color w:val="0C0C0C" w:themeColor="text1"/>
                <w:sz w:val="22"/>
                <w:szCs w:val="22"/>
                <w:lang w:val="en"/>
              </w:rPr>
              <w:t xml:space="preserve"> that are now able to recognize and manage these new CD related clinical conditions.</w:t>
            </w:r>
          </w:p>
          <w:p w:rsidR="00A46752" w:rsidRDefault="00A46752" w:rsidP="00BF2027">
            <w:pPr>
              <w:pStyle w:val="CE-TableStandard"/>
              <w:spacing w:line="276" w:lineRule="auto"/>
              <w:rPr>
                <w:color w:val="0C0C0C" w:themeColor="text1"/>
                <w:sz w:val="22"/>
                <w:szCs w:val="22"/>
                <w:lang w:val="en"/>
              </w:rPr>
            </w:pPr>
          </w:p>
          <w:p w:rsidR="00B444D7" w:rsidRDefault="00B444D7" w:rsidP="00913724">
            <w:pPr>
              <w:pStyle w:val="CE-TableStandard"/>
              <w:numPr>
                <w:ilvl w:val="0"/>
                <w:numId w:val="26"/>
              </w:numPr>
              <w:spacing w:line="276" w:lineRule="auto"/>
              <w:rPr>
                <w:color w:val="0C0C0C" w:themeColor="text1"/>
                <w:sz w:val="22"/>
                <w:szCs w:val="22"/>
                <w:lang w:val="en"/>
              </w:rPr>
            </w:pPr>
            <w:r w:rsidRPr="0094562E">
              <w:rPr>
                <w:color w:val="0C0C0C" w:themeColor="text1"/>
                <w:sz w:val="22"/>
                <w:szCs w:val="22"/>
                <w:lang w:val="en"/>
              </w:rPr>
              <w:t xml:space="preserve">We have established a stable presence of stakeholder groups </w:t>
            </w:r>
            <w:r w:rsidR="00A62E07">
              <w:rPr>
                <w:color w:val="0C0C0C" w:themeColor="text1"/>
                <w:sz w:val="22"/>
                <w:szCs w:val="22"/>
                <w:lang w:val="en"/>
              </w:rPr>
              <w:t xml:space="preserve">in the region interested </w:t>
            </w:r>
            <w:r w:rsidRPr="0094562E">
              <w:rPr>
                <w:color w:val="0C0C0C" w:themeColor="text1"/>
                <w:sz w:val="22"/>
                <w:szCs w:val="22"/>
                <w:lang w:val="en"/>
              </w:rPr>
              <w:t xml:space="preserve">on this specific field that will allow the diffusion of the knowledges acquired during this project and at the end </w:t>
            </w:r>
            <w:r w:rsidRPr="0094562E">
              <w:rPr>
                <w:color w:val="0C0C0C" w:themeColor="text1"/>
                <w:sz w:val="22"/>
                <w:szCs w:val="22"/>
              </w:rPr>
              <w:t>better quality of life of allergic/celiac disease patients</w:t>
            </w:r>
          </w:p>
          <w:p w:rsidR="00B444D7" w:rsidRDefault="00B444D7" w:rsidP="00BF2027">
            <w:pPr>
              <w:pStyle w:val="CE-TableStandard"/>
              <w:spacing w:line="276" w:lineRule="auto"/>
            </w:pPr>
          </w:p>
          <w:p w:rsidR="008C68CF" w:rsidRPr="00805D51" w:rsidRDefault="008C68CF" w:rsidP="00BF2027">
            <w:pPr>
              <w:pStyle w:val="CE-TableStandard"/>
              <w:spacing w:line="276" w:lineRule="auto"/>
            </w:pPr>
          </w:p>
        </w:tc>
      </w:tr>
    </w:tbl>
    <w:p w:rsidR="008C68CF" w:rsidRDefault="008C68CF" w:rsidP="00BF2027">
      <w:pPr>
        <w:pStyle w:val="CE-StandardText"/>
        <w:spacing w:line="276" w:lineRule="auto"/>
        <w:rPr>
          <w:lang w:val="en-GB" w:eastAsia="de-AT"/>
        </w:rPr>
      </w:pPr>
    </w:p>
    <w:p w:rsidR="00A62E07" w:rsidRDefault="00A62E07" w:rsidP="00BF2027">
      <w:pPr>
        <w:pStyle w:val="CE-StandardText"/>
        <w:spacing w:line="276" w:lineRule="auto"/>
        <w:rPr>
          <w:lang w:val="en-GB" w:eastAsia="de-AT"/>
        </w:rPr>
      </w:pPr>
    </w:p>
    <w:p w:rsidR="00A62E07" w:rsidRDefault="00A62E07" w:rsidP="00BF2027">
      <w:pPr>
        <w:pStyle w:val="CE-StandardText"/>
        <w:spacing w:line="276" w:lineRule="auto"/>
        <w:rPr>
          <w:lang w:val="en-GB" w:eastAsia="de-AT"/>
        </w:rPr>
      </w:pPr>
    </w:p>
    <w:p w:rsidR="00A62E07" w:rsidRDefault="00A62E07" w:rsidP="00BF2027">
      <w:pPr>
        <w:pStyle w:val="CE-StandardText"/>
        <w:spacing w:line="276" w:lineRule="auto"/>
        <w:rPr>
          <w:lang w:val="en-GB" w:eastAsia="de-AT"/>
        </w:rPr>
      </w:pPr>
    </w:p>
    <w:p w:rsidR="00A62E07" w:rsidRDefault="00A62E07" w:rsidP="00BF2027">
      <w:pPr>
        <w:pStyle w:val="CE-StandardText"/>
        <w:spacing w:line="276" w:lineRule="auto"/>
        <w:rPr>
          <w:lang w:val="en-GB" w:eastAsia="de-AT"/>
        </w:rPr>
      </w:pPr>
    </w:p>
    <w:p w:rsidR="00A62E07" w:rsidRDefault="00A62E07"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EE2947"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8C68CF" w:rsidRPr="007B6FAA" w:rsidRDefault="008C68CF" w:rsidP="00BF2027">
            <w:pPr>
              <w:pStyle w:val="CE-StandardText"/>
              <w:spacing w:line="276" w:lineRule="auto"/>
              <w:jc w:val="left"/>
              <w:rPr>
                <w:rFonts w:eastAsiaTheme="minorHAnsi" w:cstheme="minorBidi"/>
                <w:iCs/>
                <w:noProof/>
                <w:color w:val="FFFFFF" w:themeColor="background1"/>
                <w:sz w:val="22"/>
                <w:szCs w:val="24"/>
                <w:lang w:val="en-GB" w:eastAsia="de-AT"/>
              </w:rPr>
            </w:pPr>
            <w:r w:rsidRPr="008C68CF">
              <w:rPr>
                <w:rFonts w:eastAsiaTheme="minorHAnsi" w:cstheme="minorBidi"/>
                <w:iCs/>
                <w:noProof/>
                <w:color w:val="FFFFFF" w:themeColor="background1"/>
                <w:sz w:val="22"/>
                <w:szCs w:val="24"/>
                <w:lang w:val="en-GB" w:eastAsia="de-AT"/>
              </w:rPr>
              <w:lastRenderedPageBreak/>
              <w:t xml:space="preserve">Sustainability of the </w:t>
            </w:r>
            <w:r w:rsidR="00C57D52">
              <w:rPr>
                <w:rFonts w:eastAsiaTheme="minorHAnsi" w:cstheme="minorBidi"/>
                <w:iCs/>
                <w:noProof/>
                <w:color w:val="FFFFFF" w:themeColor="background1"/>
                <w:sz w:val="22"/>
                <w:szCs w:val="24"/>
                <w:lang w:val="en-GB" w:eastAsia="de-AT"/>
              </w:rPr>
              <w:t>pilot action</w:t>
            </w:r>
            <w:r w:rsidR="00104303">
              <w:rPr>
                <w:rFonts w:eastAsiaTheme="minorHAnsi" w:cstheme="minorBidi"/>
                <w:iCs/>
                <w:noProof/>
                <w:color w:val="FFFFFF" w:themeColor="background1"/>
                <w:sz w:val="22"/>
                <w:szCs w:val="24"/>
                <w:lang w:val="en-GB" w:eastAsia="de-AT"/>
              </w:rPr>
              <w:t xml:space="preserve"> </w:t>
            </w:r>
            <w:r w:rsidR="0022238D">
              <w:rPr>
                <w:rFonts w:eastAsiaTheme="minorHAnsi" w:cstheme="minorBidi"/>
                <w:iCs/>
                <w:noProof/>
                <w:color w:val="FFFFFF" w:themeColor="background1"/>
                <w:sz w:val="22"/>
                <w:szCs w:val="24"/>
                <w:lang w:val="en-GB" w:eastAsia="de-AT"/>
              </w:rPr>
              <w:t xml:space="preserve">results </w:t>
            </w:r>
            <w:r w:rsidR="00104303">
              <w:rPr>
                <w:rFonts w:eastAsiaTheme="minorHAnsi" w:cstheme="minorBidi"/>
                <w:iCs/>
                <w:noProof/>
                <w:color w:val="FFFFFF" w:themeColor="background1"/>
                <w:sz w:val="22"/>
                <w:szCs w:val="24"/>
                <w:lang w:val="en-GB" w:eastAsia="de-AT"/>
              </w:rPr>
              <w:t>and transferability</w:t>
            </w:r>
            <w:r w:rsidR="00C57D52">
              <w:rPr>
                <w:rFonts w:eastAsiaTheme="minorHAnsi" w:cstheme="minorBidi"/>
                <w:iCs/>
                <w:noProof/>
                <w:color w:val="FFFFFF" w:themeColor="background1"/>
                <w:sz w:val="22"/>
                <w:szCs w:val="24"/>
                <w:lang w:val="en-GB" w:eastAsia="de-AT"/>
              </w:rPr>
              <w:t xml:space="preserve"> </w:t>
            </w:r>
            <w:r w:rsidR="0022238D">
              <w:rPr>
                <w:rFonts w:eastAsiaTheme="minorHAnsi" w:cstheme="minorBidi"/>
                <w:iCs/>
                <w:noProof/>
                <w:color w:val="FFFFFF" w:themeColor="background1"/>
                <w:sz w:val="22"/>
                <w:szCs w:val="24"/>
                <w:lang w:val="en-GB" w:eastAsia="de-AT"/>
              </w:rPr>
              <w:t xml:space="preserve">to other territories and </w:t>
            </w:r>
            <w:r w:rsidR="00104303">
              <w:rPr>
                <w:rFonts w:eastAsiaTheme="minorHAnsi" w:cstheme="minorBidi"/>
                <w:iCs/>
                <w:noProof/>
                <w:color w:val="FFFFFF" w:themeColor="background1"/>
                <w:sz w:val="22"/>
                <w:szCs w:val="24"/>
                <w:lang w:val="en-GB" w:eastAsia="de-AT"/>
              </w:rPr>
              <w:t>stakeholders</w:t>
            </w:r>
          </w:p>
        </w:tc>
      </w:tr>
      <w:tr w:rsidR="008C68CF" w:rsidRPr="00CA5EA6" w:rsidTr="00094F0C">
        <w:trPr>
          <w:cnfStyle w:val="000000100000" w:firstRow="0" w:lastRow="0" w:firstColumn="0" w:lastColumn="0" w:oddVBand="0" w:evenVBand="0" w:oddHBand="1" w:evenHBand="0" w:firstRowFirstColumn="0" w:firstRowLastColumn="0" w:lastRowFirstColumn="0" w:lastRowLastColumn="0"/>
          <w:cantSplit/>
          <w:trHeight w:val="1726"/>
        </w:trPr>
        <w:tc>
          <w:tcPr>
            <w:tcW w:w="9498" w:type="dxa"/>
            <w:shd w:val="clear" w:color="auto" w:fill="E4E7E7" w:themeFill="accent1" w:themeFillTint="33"/>
            <w:tcMar>
              <w:top w:w="170" w:type="dxa"/>
              <w:bottom w:w="113" w:type="dxa"/>
            </w:tcMar>
          </w:tcPr>
          <w:p w:rsidR="00AB09D0" w:rsidRDefault="00AB09D0" w:rsidP="00AB09D0">
            <w:pPr>
              <w:pStyle w:val="CE-BulletPoint1"/>
              <w:jc w:val="both"/>
              <w:rPr>
                <w:rFonts w:asciiTheme="minorHAnsi" w:hAnsiTheme="minorHAnsi"/>
                <w:b/>
                <w:color w:val="0C0C0C" w:themeColor="text1"/>
                <w:sz w:val="22"/>
                <w:szCs w:val="22"/>
              </w:rPr>
            </w:pPr>
            <w:r>
              <w:rPr>
                <w:rFonts w:asciiTheme="minorHAnsi" w:hAnsiTheme="minorHAnsi"/>
                <w:b/>
                <w:color w:val="0C0C0C" w:themeColor="text1"/>
                <w:sz w:val="22"/>
                <w:szCs w:val="22"/>
              </w:rPr>
              <w:t>Sustainability of the pilot action</w:t>
            </w:r>
          </w:p>
          <w:p w:rsidR="00AB09D0" w:rsidRPr="007345A5" w:rsidRDefault="00AB09D0" w:rsidP="00AB09D0">
            <w:pPr>
              <w:pStyle w:val="CE-BulletPoint1"/>
              <w:numPr>
                <w:ilvl w:val="0"/>
                <w:numId w:val="0"/>
              </w:numPr>
              <w:ind w:left="284"/>
              <w:jc w:val="both"/>
              <w:rPr>
                <w:color w:val="0C0C0C" w:themeColor="text1"/>
                <w:sz w:val="22"/>
                <w:szCs w:val="22"/>
                <w:lang w:val="en-US" w:eastAsia="it-IT"/>
              </w:rPr>
            </w:pPr>
            <w:r w:rsidRPr="007345A5">
              <w:rPr>
                <w:color w:val="0C0C0C" w:themeColor="text1"/>
                <w:sz w:val="22"/>
                <w:szCs w:val="22"/>
                <w:lang w:val="en-US"/>
              </w:rPr>
              <w:t xml:space="preserve">- </w:t>
            </w:r>
            <w:r w:rsidRPr="007345A5">
              <w:rPr>
                <w:color w:val="0C0C0C" w:themeColor="text1"/>
                <w:sz w:val="22"/>
                <w:szCs w:val="22"/>
              </w:rPr>
              <w:t>the idea behind the pilot project was verified by a working group (paediatricians, allergologists, gastroenterologists and researcher) that</w:t>
            </w:r>
            <w:r w:rsidRPr="007345A5">
              <w:rPr>
                <w:color w:val="0C0C0C" w:themeColor="text1"/>
                <w:sz w:val="22"/>
                <w:szCs w:val="22"/>
                <w:lang w:eastAsia="it-IT"/>
              </w:rPr>
              <w:t xml:space="preserve"> was born during the project, but that as single units continue to operate continuously even after the end of the project. Therefore, no problems are foreseen to continue a future collaboration in this specific field which is part of the normal therapeutic diagnostic institutional activities. </w:t>
            </w:r>
          </w:p>
          <w:p w:rsidR="00AB09D0" w:rsidRPr="007345A5" w:rsidRDefault="00AB09D0" w:rsidP="00AB09D0">
            <w:pPr>
              <w:pStyle w:val="CE-BulletPoint1"/>
              <w:numPr>
                <w:ilvl w:val="0"/>
                <w:numId w:val="0"/>
              </w:numPr>
              <w:ind w:left="284"/>
              <w:jc w:val="both"/>
              <w:rPr>
                <w:color w:val="0C0C0C" w:themeColor="text1"/>
                <w:sz w:val="22"/>
                <w:szCs w:val="22"/>
              </w:rPr>
            </w:pPr>
            <w:r w:rsidRPr="007345A5">
              <w:rPr>
                <w:color w:val="0C0C0C" w:themeColor="text1"/>
                <w:sz w:val="22"/>
                <w:szCs w:val="22"/>
                <w:lang w:val="en-US" w:eastAsia="it-IT"/>
              </w:rPr>
              <w:t xml:space="preserve">- </w:t>
            </w:r>
            <w:r w:rsidRPr="007345A5">
              <w:rPr>
                <w:color w:val="0C0C0C" w:themeColor="text1"/>
                <w:sz w:val="22"/>
                <w:szCs w:val="22"/>
              </w:rPr>
              <w:t xml:space="preserve">The availability of Guidelines acquired by the pilot clinical and diagnostic experience will allow to diffuse the knowledge and the application of the screening procedure for CD diagnosis by other working groups so to become a hopefully standard diffuse procedure. </w:t>
            </w:r>
          </w:p>
          <w:p w:rsidR="00AB09D0" w:rsidRPr="008425ED" w:rsidRDefault="00AB09D0" w:rsidP="00AB09D0">
            <w:pPr>
              <w:pStyle w:val="CE-BulletPoint1"/>
              <w:numPr>
                <w:ilvl w:val="0"/>
                <w:numId w:val="0"/>
              </w:numPr>
              <w:ind w:left="284" w:hanging="284"/>
              <w:jc w:val="both"/>
              <w:rPr>
                <w:rFonts w:asciiTheme="minorHAnsi" w:hAnsiTheme="minorHAnsi"/>
                <w:b/>
                <w:color w:val="0C0C0C" w:themeColor="text1"/>
                <w:sz w:val="22"/>
                <w:szCs w:val="22"/>
              </w:rPr>
            </w:pPr>
          </w:p>
          <w:p w:rsidR="00B444D7" w:rsidRPr="008425ED" w:rsidRDefault="00AB09D0" w:rsidP="00B444D7">
            <w:pPr>
              <w:pStyle w:val="CE-BulletPoint1"/>
              <w:jc w:val="both"/>
              <w:rPr>
                <w:rFonts w:asciiTheme="minorHAnsi" w:hAnsiTheme="minorHAnsi"/>
                <w:b/>
                <w:color w:val="0C0C0C" w:themeColor="text1"/>
                <w:sz w:val="22"/>
                <w:szCs w:val="22"/>
              </w:rPr>
            </w:pPr>
            <w:r>
              <w:rPr>
                <w:rFonts w:asciiTheme="minorHAnsi" w:hAnsiTheme="minorHAnsi"/>
                <w:b/>
                <w:color w:val="0C0C0C" w:themeColor="text1"/>
                <w:sz w:val="22"/>
                <w:szCs w:val="22"/>
              </w:rPr>
              <w:t xml:space="preserve">Transferability </w:t>
            </w:r>
            <w:r w:rsidR="00B444D7" w:rsidRPr="008425ED">
              <w:rPr>
                <w:rFonts w:asciiTheme="minorHAnsi" w:hAnsiTheme="minorHAnsi"/>
                <w:b/>
                <w:color w:val="0C0C0C" w:themeColor="text1"/>
                <w:sz w:val="22"/>
                <w:szCs w:val="22"/>
              </w:rPr>
              <w:t>Outside your region</w:t>
            </w:r>
          </w:p>
          <w:p w:rsidR="005B4195" w:rsidRDefault="00B444D7" w:rsidP="00B444D7">
            <w:pPr>
              <w:pStyle w:val="CE-BulletPoint1"/>
              <w:numPr>
                <w:ilvl w:val="0"/>
                <w:numId w:val="0"/>
              </w:numPr>
              <w:ind w:left="284"/>
              <w:jc w:val="both"/>
              <w:rPr>
                <w:rFonts w:asciiTheme="minorHAnsi" w:hAnsiTheme="minorHAnsi"/>
                <w:color w:val="0C0C0C" w:themeColor="text1"/>
                <w:sz w:val="22"/>
                <w:szCs w:val="22"/>
                <w:lang w:val="en"/>
              </w:rPr>
            </w:pPr>
            <w:r w:rsidRPr="008425ED">
              <w:rPr>
                <w:rFonts w:asciiTheme="minorHAnsi" w:hAnsiTheme="minorHAnsi"/>
                <w:color w:val="0C0C0C" w:themeColor="text1"/>
                <w:sz w:val="22"/>
                <w:szCs w:val="22"/>
                <w:lang w:val="en"/>
              </w:rPr>
              <w:t xml:space="preserve">We aim to present our data </w:t>
            </w:r>
            <w:r w:rsidRPr="008425ED">
              <w:rPr>
                <w:rFonts w:asciiTheme="minorHAnsi" w:hAnsiTheme="minorHAnsi"/>
                <w:color w:val="0C0C0C" w:themeColor="text1"/>
                <w:sz w:val="22"/>
                <w:szCs w:val="22"/>
                <w:lang w:val="en-US"/>
              </w:rPr>
              <w:t xml:space="preserve">to colleagues both in </w:t>
            </w:r>
            <w:r w:rsidRPr="008425ED">
              <w:rPr>
                <w:rFonts w:asciiTheme="minorHAnsi" w:hAnsiTheme="minorHAnsi"/>
                <w:color w:val="0C0C0C" w:themeColor="text1"/>
                <w:sz w:val="22"/>
                <w:szCs w:val="22"/>
                <w:lang w:val="en"/>
              </w:rPr>
              <w:t xml:space="preserve">other “working groups” we are </w:t>
            </w:r>
            <w:r w:rsidR="005B4195" w:rsidRPr="008425ED">
              <w:rPr>
                <w:rFonts w:asciiTheme="minorHAnsi" w:hAnsiTheme="minorHAnsi"/>
                <w:color w:val="0C0C0C" w:themeColor="text1"/>
                <w:sz w:val="22"/>
                <w:szCs w:val="22"/>
                <w:lang w:val="en"/>
              </w:rPr>
              <w:t>participating</w:t>
            </w:r>
            <w:r w:rsidRPr="008425ED">
              <w:rPr>
                <w:rFonts w:asciiTheme="minorHAnsi" w:hAnsiTheme="minorHAnsi"/>
                <w:color w:val="0C0C0C" w:themeColor="text1"/>
                <w:sz w:val="22"/>
                <w:szCs w:val="22"/>
                <w:lang w:val="en"/>
              </w:rPr>
              <w:t xml:space="preserve"> as well as in scientific societies </w:t>
            </w:r>
            <w:r w:rsidRPr="008425ED">
              <w:rPr>
                <w:rFonts w:asciiTheme="minorHAnsi" w:hAnsiTheme="minorHAnsi"/>
                <w:color w:val="0C0C0C" w:themeColor="text1"/>
                <w:sz w:val="22"/>
                <w:szCs w:val="22"/>
                <w:lang w:val="en-US"/>
              </w:rPr>
              <w:t>working in the same field (CD and Allergy). So far p</w:t>
            </w:r>
            <w:proofErr w:type="spellStart"/>
            <w:r w:rsidRPr="008425ED">
              <w:rPr>
                <w:rFonts w:asciiTheme="minorHAnsi" w:hAnsiTheme="minorHAnsi"/>
                <w:color w:val="0C0C0C" w:themeColor="text1"/>
                <w:sz w:val="22"/>
                <w:szCs w:val="22"/>
              </w:rPr>
              <w:t>ilot</w:t>
            </w:r>
            <w:proofErr w:type="spellEnd"/>
            <w:r w:rsidRPr="008425ED">
              <w:rPr>
                <w:rFonts w:asciiTheme="minorHAnsi" w:hAnsiTheme="minorHAnsi"/>
                <w:color w:val="0C0C0C" w:themeColor="text1"/>
                <w:sz w:val="22"/>
                <w:szCs w:val="22"/>
              </w:rPr>
              <w:t xml:space="preserve"> activities and achievements were transferred to other regions and countries through our participation at transnational events: i</w:t>
            </w:r>
            <w:r w:rsidR="00A62E07">
              <w:rPr>
                <w:rFonts w:asciiTheme="minorHAnsi" w:hAnsiTheme="minorHAnsi"/>
                <w:color w:val="0C0C0C" w:themeColor="text1"/>
                <w:sz w:val="22"/>
                <w:szCs w:val="22"/>
              </w:rPr>
              <w:t>.</w:t>
            </w:r>
            <w:r w:rsidRPr="008425ED">
              <w:rPr>
                <w:rFonts w:asciiTheme="minorHAnsi" w:hAnsiTheme="minorHAnsi"/>
                <w:color w:val="0C0C0C" w:themeColor="text1"/>
                <w:sz w:val="22"/>
                <w:szCs w:val="22"/>
              </w:rPr>
              <w:t>e</w:t>
            </w:r>
            <w:r w:rsidR="00A62E07">
              <w:rPr>
                <w:rFonts w:asciiTheme="minorHAnsi" w:hAnsiTheme="minorHAnsi"/>
                <w:color w:val="0C0C0C" w:themeColor="text1"/>
                <w:sz w:val="22"/>
                <w:szCs w:val="22"/>
              </w:rPr>
              <w:t>.</w:t>
            </w:r>
            <w:r w:rsidRPr="008425ED">
              <w:rPr>
                <w:rFonts w:asciiTheme="minorHAnsi" w:hAnsiTheme="minorHAnsi"/>
                <w:color w:val="0C0C0C" w:themeColor="text1"/>
                <w:sz w:val="22"/>
                <w:szCs w:val="22"/>
              </w:rPr>
              <w:t xml:space="preserve"> </w:t>
            </w:r>
            <w:r w:rsidRPr="008425ED">
              <w:rPr>
                <w:rFonts w:asciiTheme="minorHAnsi" w:hAnsiTheme="minorHAnsi"/>
                <w:color w:val="0C0C0C" w:themeColor="text1"/>
                <w:sz w:val="22"/>
                <w:szCs w:val="22"/>
                <w:lang w:val="en"/>
              </w:rPr>
              <w:t xml:space="preserve">Data from this study will be presented at the ESPGHAN annual meeting </w:t>
            </w:r>
          </w:p>
          <w:p w:rsidR="00CA5EA6" w:rsidRPr="00805D51" w:rsidRDefault="00CA5EA6" w:rsidP="005B4195">
            <w:pPr>
              <w:pStyle w:val="CE-TableStandard"/>
              <w:spacing w:line="276" w:lineRule="auto"/>
            </w:pPr>
          </w:p>
        </w:tc>
      </w:tr>
    </w:tbl>
    <w:p w:rsidR="008C68CF" w:rsidRDefault="008C68CF"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EE2947"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8C68CF" w:rsidRPr="007B6FAA" w:rsidRDefault="00104303"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L</w:t>
            </w:r>
            <w:r w:rsidR="008C68CF" w:rsidRPr="008C68CF">
              <w:rPr>
                <w:rFonts w:eastAsiaTheme="minorHAnsi" w:cstheme="minorBidi"/>
                <w:iCs/>
                <w:noProof/>
                <w:color w:val="FFFFFF" w:themeColor="background1"/>
                <w:sz w:val="22"/>
                <w:szCs w:val="24"/>
                <w:lang w:val="en-GB" w:eastAsia="de-AT"/>
              </w:rPr>
              <w:t xml:space="preserve">essons </w:t>
            </w:r>
            <w:r w:rsidR="00F102B2">
              <w:rPr>
                <w:rFonts w:eastAsiaTheme="minorHAnsi" w:cstheme="minorBidi"/>
                <w:iCs/>
                <w:noProof/>
                <w:color w:val="FFFFFF" w:themeColor="background1"/>
                <w:sz w:val="22"/>
                <w:szCs w:val="24"/>
                <w:lang w:val="en-GB" w:eastAsia="de-AT"/>
              </w:rPr>
              <w:t>learned</w:t>
            </w:r>
            <w:r w:rsidR="0022238D">
              <w:rPr>
                <w:rFonts w:eastAsiaTheme="minorHAnsi" w:cstheme="minorBidi"/>
                <w:iCs/>
                <w:noProof/>
                <w:color w:val="FFFFFF" w:themeColor="background1"/>
                <w:sz w:val="22"/>
                <w:szCs w:val="24"/>
                <w:lang w:val="en-GB" w:eastAsia="de-AT"/>
              </w:rPr>
              <w:t xml:space="preserve"> from </w:t>
            </w:r>
            <w:r>
              <w:rPr>
                <w:rFonts w:eastAsiaTheme="minorHAnsi" w:cstheme="minorBidi"/>
                <w:iCs/>
                <w:noProof/>
                <w:color w:val="FFFFFF" w:themeColor="background1"/>
                <w:sz w:val="22"/>
                <w:szCs w:val="24"/>
                <w:lang w:val="en-GB" w:eastAsia="de-AT"/>
              </w:rPr>
              <w:t xml:space="preserve">the implementation </w:t>
            </w:r>
            <w:r w:rsidR="0022238D">
              <w:rPr>
                <w:rFonts w:eastAsiaTheme="minorHAnsi" w:cstheme="minorBidi"/>
                <w:iCs/>
                <w:noProof/>
                <w:color w:val="FFFFFF" w:themeColor="background1"/>
                <w:sz w:val="22"/>
                <w:szCs w:val="24"/>
                <w:lang w:val="en-GB" w:eastAsia="de-AT"/>
              </w:rPr>
              <w:t xml:space="preserve">of the pilot action </w:t>
            </w:r>
            <w:r>
              <w:rPr>
                <w:rFonts w:eastAsiaTheme="minorHAnsi" w:cstheme="minorBidi"/>
                <w:iCs/>
                <w:noProof/>
                <w:color w:val="FFFFFF" w:themeColor="background1"/>
                <w:sz w:val="22"/>
                <w:szCs w:val="24"/>
                <w:lang w:val="en-GB" w:eastAsia="de-AT"/>
              </w:rPr>
              <w:t>and added value of transnational cooperation</w:t>
            </w:r>
          </w:p>
        </w:tc>
      </w:tr>
      <w:tr w:rsidR="00B74FD5" w:rsidRPr="00CA5EA6" w:rsidTr="00094F0C">
        <w:trPr>
          <w:cnfStyle w:val="000000100000" w:firstRow="0" w:lastRow="0" w:firstColumn="0" w:lastColumn="0" w:oddVBand="0" w:evenVBand="0" w:oddHBand="1" w:evenHBand="0" w:firstRowFirstColumn="0" w:firstRowLastColumn="0" w:lastRowFirstColumn="0" w:lastRowLastColumn="0"/>
          <w:cantSplit/>
          <w:trHeight w:val="1726"/>
        </w:trPr>
        <w:tc>
          <w:tcPr>
            <w:tcW w:w="9498" w:type="dxa"/>
            <w:shd w:val="clear" w:color="auto" w:fill="E4E7E7" w:themeFill="accent1" w:themeFillTint="33"/>
            <w:tcMar>
              <w:top w:w="170" w:type="dxa"/>
              <w:bottom w:w="113" w:type="dxa"/>
            </w:tcMar>
          </w:tcPr>
          <w:p w:rsidR="00B74FD5" w:rsidRPr="00B74FD5" w:rsidRDefault="00B74FD5" w:rsidP="00B74FD5">
            <w:pPr>
              <w:pStyle w:val="CE-TableStandard"/>
              <w:jc w:val="both"/>
              <w:rPr>
                <w:color w:val="auto"/>
                <w:sz w:val="22"/>
                <w:szCs w:val="22"/>
                <w:lang w:val="en"/>
              </w:rPr>
            </w:pPr>
            <w:bookmarkStart w:id="0" w:name="_GoBack"/>
            <w:bookmarkEnd w:id="0"/>
            <w:r w:rsidRPr="00B74FD5">
              <w:rPr>
                <w:color w:val="auto"/>
                <w:sz w:val="22"/>
                <w:szCs w:val="22"/>
                <w:lang w:val="en"/>
              </w:rPr>
              <w:t xml:space="preserve">The merge of basic research and daily clinical practice (both in the clinical allergy service as well as in the gastroenterology one) has force partners to have frequent interactions and share mutual feedback on clinical results and patient’s follow-up. This has strengthened a stable collaboration that has substantial advantages for both the patients as well as for all the staff involved. </w:t>
            </w:r>
          </w:p>
          <w:p w:rsidR="00B74FD5" w:rsidRPr="00B74FD5" w:rsidRDefault="00B74FD5" w:rsidP="00B74FD5">
            <w:pPr>
              <w:pStyle w:val="CE-TableStandard"/>
              <w:jc w:val="both"/>
              <w:rPr>
                <w:color w:val="auto"/>
                <w:sz w:val="22"/>
                <w:szCs w:val="22"/>
                <w:lang w:val="en"/>
              </w:rPr>
            </w:pPr>
          </w:p>
          <w:p w:rsidR="00B74FD5" w:rsidRPr="00B74FD5" w:rsidRDefault="00B74FD5" w:rsidP="00B74FD5">
            <w:pPr>
              <w:pStyle w:val="CE-TableStandard"/>
              <w:jc w:val="both"/>
              <w:rPr>
                <w:color w:val="auto"/>
                <w:sz w:val="22"/>
                <w:szCs w:val="22"/>
                <w:lang w:val="en"/>
              </w:rPr>
            </w:pPr>
            <w:r w:rsidRPr="00B74FD5">
              <w:rPr>
                <w:color w:val="auto"/>
                <w:sz w:val="22"/>
                <w:szCs w:val="22"/>
                <w:lang w:val="en"/>
              </w:rPr>
              <w:t xml:space="preserve">The close collaboration within the stakeholders </w:t>
            </w:r>
            <w:proofErr w:type="spellStart"/>
            <w:r w:rsidRPr="00B74FD5">
              <w:rPr>
                <w:color w:val="auto"/>
                <w:sz w:val="22"/>
                <w:szCs w:val="22"/>
                <w:lang w:val="en"/>
              </w:rPr>
              <w:t>ie</w:t>
            </w:r>
            <w:proofErr w:type="spellEnd"/>
            <w:r w:rsidRPr="00B74FD5">
              <w:rPr>
                <w:color w:val="auto"/>
                <w:sz w:val="22"/>
                <w:szCs w:val="22"/>
                <w:lang w:val="en"/>
              </w:rPr>
              <w:t xml:space="preserve"> the regional </w:t>
            </w:r>
            <w:proofErr w:type="spellStart"/>
            <w:r w:rsidRPr="00B74FD5">
              <w:rPr>
                <w:color w:val="auto"/>
                <w:sz w:val="22"/>
                <w:szCs w:val="22"/>
                <w:lang w:val="en"/>
              </w:rPr>
              <w:t>allergological</w:t>
            </w:r>
            <w:proofErr w:type="spellEnd"/>
            <w:r w:rsidRPr="00B74FD5">
              <w:rPr>
                <w:color w:val="auto"/>
                <w:sz w:val="22"/>
                <w:szCs w:val="22"/>
                <w:lang w:val="en"/>
              </w:rPr>
              <w:t xml:space="preserve"> group, the center for research in autoimmunity (in Novara -Italy) and PP5 and PP7 has created a scientific network with wider connections (national and internationals) that will help in disseminating out the outcomes and guidelines produced.</w:t>
            </w:r>
          </w:p>
          <w:p w:rsidR="00B74FD5" w:rsidRPr="008C7653" w:rsidRDefault="00B74FD5" w:rsidP="00B74FD5">
            <w:pPr>
              <w:pStyle w:val="CE-TableStandard"/>
              <w:jc w:val="both"/>
              <w:rPr>
                <w:color w:val="auto"/>
                <w:highlight w:val="yellow"/>
              </w:rPr>
            </w:pPr>
          </w:p>
        </w:tc>
      </w:tr>
    </w:tbl>
    <w:p w:rsidR="008C68CF" w:rsidRDefault="008C68CF" w:rsidP="00BF2027">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22238D" w:rsidRPr="00EE2947" w:rsidTr="00C173F9">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rsidR="0022238D" w:rsidRDefault="0022238D"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lastRenderedPageBreak/>
              <w:t>References to relevant deliverables and web-links</w:t>
            </w:r>
          </w:p>
          <w:p w:rsidR="0022238D" w:rsidRPr="007B6FAA" w:rsidRDefault="0022238D" w:rsidP="00BF2027">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If applicable, pictures or images to be provided as annex</w:t>
            </w:r>
          </w:p>
        </w:tc>
      </w:tr>
      <w:tr w:rsidR="008C68CF" w:rsidRPr="007B6FAA" w:rsidTr="00094F0C">
        <w:trPr>
          <w:cnfStyle w:val="000000100000" w:firstRow="0" w:lastRow="0" w:firstColumn="0" w:lastColumn="0" w:oddVBand="0" w:evenVBand="0" w:oddHBand="1" w:evenHBand="0" w:firstRowFirstColumn="0" w:firstRowLastColumn="0" w:lastRowFirstColumn="0" w:lastRowLastColumn="0"/>
          <w:cantSplit/>
          <w:trHeight w:val="1546"/>
        </w:trPr>
        <w:tc>
          <w:tcPr>
            <w:tcW w:w="9498" w:type="dxa"/>
            <w:shd w:val="clear" w:color="auto" w:fill="E4E7E7" w:themeFill="accent1" w:themeFillTint="33"/>
            <w:tcMar>
              <w:top w:w="170" w:type="dxa"/>
              <w:bottom w:w="113" w:type="dxa"/>
            </w:tcMar>
          </w:tcPr>
          <w:p w:rsidR="008C68CF" w:rsidRPr="00B74FD5" w:rsidRDefault="00DE18F6" w:rsidP="00BF2027">
            <w:pPr>
              <w:pStyle w:val="CE-TableStandard"/>
              <w:spacing w:line="276" w:lineRule="auto"/>
              <w:rPr>
                <w:sz w:val="22"/>
                <w:szCs w:val="22"/>
                <w:lang w:val="de-AT"/>
              </w:rPr>
            </w:pPr>
            <w:r w:rsidRPr="00B74FD5">
              <w:rPr>
                <w:sz w:val="22"/>
                <w:szCs w:val="22"/>
                <w:lang w:val="de-AT"/>
              </w:rPr>
              <w:t xml:space="preserve">Project </w:t>
            </w:r>
            <w:proofErr w:type="spellStart"/>
            <w:r w:rsidRPr="00B74FD5">
              <w:rPr>
                <w:sz w:val="22"/>
                <w:szCs w:val="22"/>
                <w:lang w:val="de-AT"/>
              </w:rPr>
              <w:t>web</w:t>
            </w:r>
            <w:proofErr w:type="spellEnd"/>
            <w:r w:rsidRPr="00B74FD5">
              <w:rPr>
                <w:sz w:val="22"/>
                <w:szCs w:val="22"/>
                <w:lang w:val="de-AT"/>
              </w:rPr>
              <w:t xml:space="preserve"> </w:t>
            </w:r>
            <w:proofErr w:type="spellStart"/>
            <w:r w:rsidRPr="00B74FD5">
              <w:rPr>
                <w:sz w:val="22"/>
                <w:szCs w:val="22"/>
                <w:lang w:val="de-AT"/>
              </w:rPr>
              <w:t>sites</w:t>
            </w:r>
            <w:proofErr w:type="spellEnd"/>
          </w:p>
          <w:p w:rsidR="00DE18F6" w:rsidRPr="00B74FD5" w:rsidRDefault="00DE18F6" w:rsidP="00BF2027">
            <w:pPr>
              <w:pStyle w:val="CE-TableStandard"/>
              <w:spacing w:line="276" w:lineRule="auto"/>
              <w:rPr>
                <w:sz w:val="22"/>
                <w:szCs w:val="22"/>
                <w:lang w:val="de-AT"/>
              </w:rPr>
            </w:pPr>
          </w:p>
          <w:p w:rsidR="00DE18F6" w:rsidRPr="00B74FD5" w:rsidRDefault="00DE18F6" w:rsidP="00BF2027">
            <w:pPr>
              <w:pStyle w:val="CE-TableStandard"/>
              <w:spacing w:line="276" w:lineRule="auto"/>
              <w:rPr>
                <w:sz w:val="22"/>
                <w:szCs w:val="22"/>
              </w:rPr>
            </w:pPr>
            <w:r w:rsidRPr="00B74FD5">
              <w:rPr>
                <w:sz w:val="22"/>
                <w:szCs w:val="22"/>
                <w:lang w:val="de-AT"/>
              </w:rPr>
              <w:t xml:space="preserve">- </w:t>
            </w:r>
            <w:hyperlink r:id="rId9" w:history="1">
              <w:r w:rsidRPr="00B74FD5">
                <w:rPr>
                  <w:rStyle w:val="Collegamentoipertestuale"/>
                  <w:sz w:val="22"/>
                  <w:szCs w:val="22"/>
                  <w:lang w:val="de-AT"/>
                </w:rPr>
                <w:t>https://www.interreg-central.eu/Content.Node/Focus-IN-CD.html</w:t>
              </w:r>
            </w:hyperlink>
          </w:p>
          <w:p w:rsidR="00DE18F6" w:rsidRPr="00B74FD5" w:rsidRDefault="00DE18F6" w:rsidP="00BF2027">
            <w:pPr>
              <w:pStyle w:val="CE-TableStandard"/>
              <w:spacing w:line="276" w:lineRule="auto"/>
              <w:rPr>
                <w:sz w:val="22"/>
                <w:szCs w:val="22"/>
              </w:rPr>
            </w:pPr>
            <w:r w:rsidRPr="00B74FD5">
              <w:rPr>
                <w:sz w:val="22"/>
                <w:szCs w:val="22"/>
              </w:rPr>
              <w:t xml:space="preserve">- </w:t>
            </w:r>
            <w:hyperlink r:id="rId10" w:history="1">
              <w:r w:rsidRPr="00B74FD5">
                <w:rPr>
                  <w:rStyle w:val="Collegamentoipertestuale"/>
                  <w:sz w:val="22"/>
                  <w:szCs w:val="22"/>
                </w:rPr>
                <w:t>https://www.facebook.com/focusincd/</w:t>
              </w:r>
            </w:hyperlink>
          </w:p>
          <w:p w:rsidR="00DE18F6" w:rsidRPr="00B74FD5" w:rsidRDefault="00DE18F6" w:rsidP="00BF2027">
            <w:pPr>
              <w:pStyle w:val="CE-TableStandard"/>
              <w:spacing w:line="276" w:lineRule="auto"/>
              <w:rPr>
                <w:sz w:val="22"/>
                <w:szCs w:val="22"/>
              </w:rPr>
            </w:pPr>
          </w:p>
          <w:p w:rsidR="00DE18F6" w:rsidRPr="00B74FD5" w:rsidRDefault="00DE18F6" w:rsidP="00BF2027">
            <w:pPr>
              <w:pStyle w:val="CE-TableStandard"/>
              <w:spacing w:line="276" w:lineRule="auto"/>
              <w:rPr>
                <w:sz w:val="22"/>
                <w:szCs w:val="22"/>
              </w:rPr>
            </w:pPr>
            <w:r w:rsidRPr="00B74FD5">
              <w:rPr>
                <w:sz w:val="22"/>
                <w:szCs w:val="22"/>
              </w:rPr>
              <w:t xml:space="preserve">- </w:t>
            </w:r>
            <w:hyperlink r:id="rId11" w:history="1">
              <w:r w:rsidRPr="00B74FD5">
                <w:rPr>
                  <w:rStyle w:val="Collegamentoipertestuale"/>
                  <w:sz w:val="22"/>
                  <w:szCs w:val="22"/>
                </w:rPr>
                <w:t>https://www.celiachia-info.it/focusincd-it</w:t>
              </w:r>
            </w:hyperlink>
          </w:p>
          <w:p w:rsidR="00DE18F6" w:rsidRDefault="00DE18F6" w:rsidP="00BF2027">
            <w:pPr>
              <w:pStyle w:val="CE-TableStandard"/>
              <w:spacing w:line="276" w:lineRule="auto"/>
            </w:pPr>
          </w:p>
          <w:p w:rsidR="00DE18F6" w:rsidRDefault="00DE18F6" w:rsidP="00BF2027">
            <w:pPr>
              <w:pStyle w:val="CE-TableStandard"/>
              <w:spacing w:line="276" w:lineRule="auto"/>
              <w:rPr>
                <w:lang w:val="de-AT"/>
              </w:rPr>
            </w:pPr>
          </w:p>
          <w:p w:rsidR="00DE18F6" w:rsidRPr="00DE18F6" w:rsidRDefault="00DE18F6" w:rsidP="00BF2027">
            <w:pPr>
              <w:pStyle w:val="CE-TableStandard"/>
              <w:spacing w:line="276" w:lineRule="auto"/>
              <w:rPr>
                <w:lang w:val="de-AT"/>
              </w:rPr>
            </w:pPr>
          </w:p>
        </w:tc>
      </w:tr>
    </w:tbl>
    <w:p w:rsidR="008C68CF" w:rsidRPr="00DE18F6" w:rsidRDefault="008C68CF" w:rsidP="00BF2027">
      <w:pPr>
        <w:pStyle w:val="CE-StandardText"/>
        <w:spacing w:line="276" w:lineRule="auto"/>
        <w:rPr>
          <w:lang w:val="de-AT" w:eastAsia="de-AT"/>
        </w:rPr>
      </w:pPr>
    </w:p>
    <w:sectPr w:rsidR="008C68CF" w:rsidRPr="00DE18F6" w:rsidSect="00731BF8">
      <w:headerReference w:type="default" r:id="rId12"/>
      <w:footerReference w:type="default" r:id="rId13"/>
      <w:headerReference w:type="first" r:id="rId14"/>
      <w:pgSz w:w="11906" w:h="16838" w:code="9"/>
      <w:pgMar w:top="2977" w:right="851" w:bottom="993" w:left="1559"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7DF" w:rsidRDefault="000777DF" w:rsidP="00877C37">
      <w:r>
        <w:separator/>
      </w:r>
    </w:p>
    <w:p w:rsidR="000777DF" w:rsidRDefault="000777DF"/>
    <w:p w:rsidR="000777DF" w:rsidRDefault="000777DF"/>
    <w:p w:rsidR="000777DF" w:rsidRDefault="000777DF"/>
  </w:endnote>
  <w:endnote w:type="continuationSeparator" w:id="0">
    <w:p w:rsidR="000777DF" w:rsidRDefault="000777DF" w:rsidP="00877C37">
      <w:r>
        <w:continuationSeparator/>
      </w:r>
    </w:p>
    <w:p w:rsidR="000777DF" w:rsidRDefault="000777DF"/>
    <w:p w:rsidR="000777DF" w:rsidRDefault="000777DF"/>
    <w:p w:rsidR="000777DF" w:rsidRDefault="00077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Rounded MT Bold">
    <w:altName w:val="Arial"/>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73A" w:rsidRPr="00B07377" w:rsidRDefault="00DA073A" w:rsidP="00DA073A">
    <w:pPr>
      <w:pStyle w:val="CE-Head3"/>
      <w:jc w:val="right"/>
      <w:rPr>
        <w:sz w:val="20"/>
      </w:rPr>
    </w:pPr>
  </w:p>
  <w:p w:rsidR="00DA073A" w:rsidRDefault="00DA073A" w:rsidP="00DA073A">
    <w:pPr>
      <w:pStyle w:val="Pidipagina"/>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7DF" w:rsidRPr="00924079" w:rsidRDefault="000777DF" w:rsidP="00924079">
      <w:pPr>
        <w:ind w:left="0"/>
        <w:rPr>
          <w:color w:val="4D4933" w:themeColor="accent6"/>
        </w:rPr>
      </w:pPr>
      <w:r w:rsidRPr="00924079">
        <w:rPr>
          <w:color w:val="4D4933" w:themeColor="accent6"/>
        </w:rPr>
        <w:separator/>
      </w:r>
    </w:p>
    <w:p w:rsidR="000777DF" w:rsidRDefault="000777DF" w:rsidP="00924079">
      <w:pPr>
        <w:ind w:left="0"/>
      </w:pPr>
    </w:p>
    <w:p w:rsidR="000777DF" w:rsidRDefault="000777DF"/>
    <w:p w:rsidR="000777DF" w:rsidRDefault="000777DF"/>
    <w:p w:rsidR="000777DF" w:rsidRDefault="000777DF"/>
  </w:footnote>
  <w:footnote w:type="continuationSeparator" w:id="0">
    <w:p w:rsidR="000777DF" w:rsidRDefault="000777DF" w:rsidP="00924079">
      <w:pPr>
        <w:ind w:left="0"/>
      </w:pPr>
      <w:r>
        <w:continuationSeparator/>
      </w:r>
    </w:p>
    <w:p w:rsidR="000777DF" w:rsidRDefault="000777DF"/>
    <w:p w:rsidR="000777DF" w:rsidRDefault="000777DF"/>
    <w:p w:rsidR="000777DF" w:rsidRDefault="000777DF"/>
  </w:footnote>
  <w:footnote w:type="continuationNotice" w:id="1">
    <w:p w:rsidR="000777DF" w:rsidRDefault="000777DF">
      <w:pPr>
        <w:spacing w:before="0" w:line="240" w:lineRule="auto"/>
      </w:pPr>
    </w:p>
    <w:p w:rsidR="000777DF" w:rsidRDefault="000777DF"/>
    <w:p w:rsidR="000777DF" w:rsidRDefault="000777DF"/>
    <w:p w:rsidR="000777DF" w:rsidRDefault="00077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4" w:rsidRPr="00C8321B" w:rsidRDefault="00DF06E9" w:rsidP="00C8321B">
    <w:pPr>
      <w:pStyle w:val="Intestazione"/>
      <w:jc w:val="center"/>
    </w:pPr>
    <w:r>
      <w:rPr>
        <w:noProof/>
        <w:lang w:val="sl-SI" w:eastAsia="sl-SI"/>
      </w:rPr>
      <w:drawing>
        <wp:anchor distT="0" distB="0" distL="114300" distR="114300" simplePos="0" relativeHeight="251659776" behindDoc="1" locked="0" layoutInCell="1" allowOverlap="1" wp14:anchorId="5A0A3F06" wp14:editId="5620A26B">
          <wp:simplePos x="0" y="0"/>
          <wp:positionH relativeFrom="column">
            <wp:posOffset>-352425</wp:posOffset>
          </wp:positionH>
          <wp:positionV relativeFrom="paragraph">
            <wp:posOffset>0</wp:posOffset>
          </wp:positionV>
          <wp:extent cx="6917130" cy="1439544"/>
          <wp:effectExtent l="0" t="0" r="0" b="8890"/>
          <wp:wrapNone/>
          <wp:docPr id="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6D54" w:rsidRDefault="00596D54"/>
  <w:p w:rsidR="00596D54" w:rsidRDefault="00596D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54" w:rsidRDefault="00FD51C4" w:rsidP="00D41EE5">
    <w:pPr>
      <w:pStyle w:val="Intestazione"/>
      <w:ind w:left="-1559"/>
    </w:pPr>
    <w:r>
      <w:rPr>
        <w:noProof/>
        <w:lang w:val="sl-SI" w:eastAsia="sl-SI"/>
      </w:rPr>
      <w:drawing>
        <wp:anchor distT="0" distB="0" distL="114300" distR="114300" simplePos="0" relativeHeight="251657728" behindDoc="1" locked="0" layoutInCell="1" allowOverlap="1" wp14:anchorId="5A0A3F06" wp14:editId="5620A26B">
          <wp:simplePos x="0" y="0"/>
          <wp:positionH relativeFrom="column">
            <wp:posOffset>-409575</wp:posOffset>
          </wp:positionH>
          <wp:positionV relativeFrom="paragraph">
            <wp:posOffset>66675</wp:posOffset>
          </wp:positionV>
          <wp:extent cx="6917130" cy="1439544"/>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 w15:restartNumberingAfterBreak="0">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5"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7"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A84178D"/>
    <w:multiLevelType w:val="hybridMultilevel"/>
    <w:tmpl w:val="4836C8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3"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15"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0"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21"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3"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25"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21"/>
  </w:num>
  <w:num w:numId="2">
    <w:abstractNumId w:val="22"/>
  </w:num>
  <w:num w:numId="3">
    <w:abstractNumId w:val="1"/>
  </w:num>
  <w:num w:numId="4">
    <w:abstractNumId w:val="24"/>
  </w:num>
  <w:num w:numId="5">
    <w:abstractNumId w:val="18"/>
  </w:num>
  <w:num w:numId="6">
    <w:abstractNumId w:val="9"/>
  </w:num>
  <w:num w:numId="7">
    <w:abstractNumId w:val="13"/>
  </w:num>
  <w:num w:numId="8">
    <w:abstractNumId w:val="16"/>
  </w:num>
  <w:num w:numId="9">
    <w:abstractNumId w:val="2"/>
  </w:num>
  <w:num w:numId="10">
    <w:abstractNumId w:val="19"/>
  </w:num>
  <w:num w:numId="11">
    <w:abstractNumId w:val="14"/>
  </w:num>
  <w:num w:numId="12">
    <w:abstractNumId w:val="6"/>
  </w:num>
  <w:num w:numId="13">
    <w:abstractNumId w:val="8"/>
  </w:num>
  <w:num w:numId="14">
    <w:abstractNumId w:val="0"/>
  </w:num>
  <w:num w:numId="15">
    <w:abstractNumId w:val="11"/>
  </w:num>
  <w:num w:numId="16">
    <w:abstractNumId w:val="5"/>
  </w:num>
  <w:num w:numId="17">
    <w:abstractNumId w:val="7"/>
  </w:num>
  <w:num w:numId="18">
    <w:abstractNumId w:val="23"/>
  </w:num>
  <w:num w:numId="19">
    <w:abstractNumId w:val="3"/>
  </w:num>
  <w:num w:numId="20">
    <w:abstractNumId w:val="15"/>
  </w:num>
  <w:num w:numId="21">
    <w:abstractNumId w:val="4"/>
  </w:num>
  <w:num w:numId="22">
    <w:abstractNumId w:val="25"/>
  </w:num>
  <w:num w:numId="23">
    <w:abstractNumId w:val="20"/>
  </w:num>
  <w:num w:numId="24">
    <w:abstractNumId w:val="17"/>
  </w:num>
  <w:num w:numId="25">
    <w:abstractNumId w:val="12"/>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7DF"/>
    <w:rsid w:val="00077F8B"/>
    <w:rsid w:val="000806EF"/>
    <w:rsid w:val="00080C76"/>
    <w:rsid w:val="000819DD"/>
    <w:rsid w:val="00081B27"/>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4F0C"/>
    <w:rsid w:val="00095478"/>
    <w:rsid w:val="0009630C"/>
    <w:rsid w:val="00096C74"/>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A8F"/>
    <w:rsid w:val="000F5E46"/>
    <w:rsid w:val="000F6E3B"/>
    <w:rsid w:val="000F7443"/>
    <w:rsid w:val="000F7FA7"/>
    <w:rsid w:val="001020E1"/>
    <w:rsid w:val="00103424"/>
    <w:rsid w:val="00104303"/>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013"/>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40DF"/>
    <w:rsid w:val="001E4CEA"/>
    <w:rsid w:val="001E503C"/>
    <w:rsid w:val="001E57A0"/>
    <w:rsid w:val="001E6C18"/>
    <w:rsid w:val="001E738F"/>
    <w:rsid w:val="001E7A34"/>
    <w:rsid w:val="001F05A5"/>
    <w:rsid w:val="001F0707"/>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2FBB"/>
    <w:rsid w:val="00213399"/>
    <w:rsid w:val="00213D7D"/>
    <w:rsid w:val="00214458"/>
    <w:rsid w:val="00216E68"/>
    <w:rsid w:val="00217039"/>
    <w:rsid w:val="00217511"/>
    <w:rsid w:val="00217E5B"/>
    <w:rsid w:val="002200AE"/>
    <w:rsid w:val="00221473"/>
    <w:rsid w:val="00221669"/>
    <w:rsid w:val="002216A5"/>
    <w:rsid w:val="00221C12"/>
    <w:rsid w:val="00221C63"/>
    <w:rsid w:val="0022238D"/>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A148F"/>
    <w:rsid w:val="003A1CFA"/>
    <w:rsid w:val="003A2BD5"/>
    <w:rsid w:val="003A342F"/>
    <w:rsid w:val="003A4402"/>
    <w:rsid w:val="003A507F"/>
    <w:rsid w:val="003A510D"/>
    <w:rsid w:val="003A5D51"/>
    <w:rsid w:val="003A661C"/>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6209"/>
    <w:rsid w:val="003C63AD"/>
    <w:rsid w:val="003C6B2B"/>
    <w:rsid w:val="003C6CB0"/>
    <w:rsid w:val="003C6D45"/>
    <w:rsid w:val="003C7998"/>
    <w:rsid w:val="003C7B84"/>
    <w:rsid w:val="003C7D58"/>
    <w:rsid w:val="003C7DD6"/>
    <w:rsid w:val="003D0BE7"/>
    <w:rsid w:val="003D19F7"/>
    <w:rsid w:val="003D3238"/>
    <w:rsid w:val="003D3363"/>
    <w:rsid w:val="003D37CD"/>
    <w:rsid w:val="003D517D"/>
    <w:rsid w:val="003D6650"/>
    <w:rsid w:val="003D6970"/>
    <w:rsid w:val="003D6D84"/>
    <w:rsid w:val="003D6FCA"/>
    <w:rsid w:val="003D7311"/>
    <w:rsid w:val="003D7575"/>
    <w:rsid w:val="003D7DBF"/>
    <w:rsid w:val="003D7ED2"/>
    <w:rsid w:val="003D7F45"/>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2F8"/>
    <w:rsid w:val="00411EB4"/>
    <w:rsid w:val="00412269"/>
    <w:rsid w:val="004125EA"/>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B04"/>
    <w:rsid w:val="00511211"/>
    <w:rsid w:val="00511324"/>
    <w:rsid w:val="00511864"/>
    <w:rsid w:val="00511E81"/>
    <w:rsid w:val="005130DA"/>
    <w:rsid w:val="00513A83"/>
    <w:rsid w:val="00513D07"/>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3739E"/>
    <w:rsid w:val="005404D9"/>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907CF"/>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195"/>
    <w:rsid w:val="005B46FD"/>
    <w:rsid w:val="005B47BF"/>
    <w:rsid w:val="005B5F64"/>
    <w:rsid w:val="005B64AA"/>
    <w:rsid w:val="005B6E7C"/>
    <w:rsid w:val="005B7129"/>
    <w:rsid w:val="005B77A1"/>
    <w:rsid w:val="005B7DFA"/>
    <w:rsid w:val="005C0C02"/>
    <w:rsid w:val="005C1E55"/>
    <w:rsid w:val="005C332A"/>
    <w:rsid w:val="005C38E9"/>
    <w:rsid w:val="005C48C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99A"/>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5F9D"/>
    <w:rsid w:val="006E622F"/>
    <w:rsid w:val="006E6D6E"/>
    <w:rsid w:val="006E6DC2"/>
    <w:rsid w:val="006E71D2"/>
    <w:rsid w:val="006E7264"/>
    <w:rsid w:val="006E73E6"/>
    <w:rsid w:val="006E75EC"/>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6FAA"/>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2FCB"/>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D7A32"/>
    <w:rsid w:val="008E02DB"/>
    <w:rsid w:val="008E0B7E"/>
    <w:rsid w:val="008E0D30"/>
    <w:rsid w:val="008E34EB"/>
    <w:rsid w:val="008E3551"/>
    <w:rsid w:val="008E4A32"/>
    <w:rsid w:val="008E50DA"/>
    <w:rsid w:val="008E5875"/>
    <w:rsid w:val="008E5DE2"/>
    <w:rsid w:val="008E60BA"/>
    <w:rsid w:val="008E65C8"/>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3724"/>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3AF8"/>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A85"/>
    <w:rsid w:val="00A34B77"/>
    <w:rsid w:val="00A350E1"/>
    <w:rsid w:val="00A35253"/>
    <w:rsid w:val="00A35723"/>
    <w:rsid w:val="00A3705C"/>
    <w:rsid w:val="00A4128F"/>
    <w:rsid w:val="00A43416"/>
    <w:rsid w:val="00A43DD4"/>
    <w:rsid w:val="00A448D9"/>
    <w:rsid w:val="00A44A19"/>
    <w:rsid w:val="00A44D8C"/>
    <w:rsid w:val="00A45C23"/>
    <w:rsid w:val="00A46752"/>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E07"/>
    <w:rsid w:val="00A62F0C"/>
    <w:rsid w:val="00A638A3"/>
    <w:rsid w:val="00A64133"/>
    <w:rsid w:val="00A647E0"/>
    <w:rsid w:val="00A64B31"/>
    <w:rsid w:val="00A64C2B"/>
    <w:rsid w:val="00A6558E"/>
    <w:rsid w:val="00A65DD7"/>
    <w:rsid w:val="00A7012E"/>
    <w:rsid w:val="00A70F9C"/>
    <w:rsid w:val="00A719E4"/>
    <w:rsid w:val="00A732D0"/>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91B"/>
    <w:rsid w:val="00AA4A10"/>
    <w:rsid w:val="00AA6158"/>
    <w:rsid w:val="00AA7FA7"/>
    <w:rsid w:val="00AB09D0"/>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377"/>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869"/>
    <w:rsid w:val="00B418C1"/>
    <w:rsid w:val="00B41BB3"/>
    <w:rsid w:val="00B42E25"/>
    <w:rsid w:val="00B437DA"/>
    <w:rsid w:val="00B4435E"/>
    <w:rsid w:val="00B444D7"/>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4FD5"/>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670"/>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14D7"/>
    <w:rsid w:val="00BC2F00"/>
    <w:rsid w:val="00BC2F8F"/>
    <w:rsid w:val="00BC37E9"/>
    <w:rsid w:val="00BC4A97"/>
    <w:rsid w:val="00BC4B08"/>
    <w:rsid w:val="00BC4DCA"/>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027"/>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448F"/>
    <w:rsid w:val="00C151D3"/>
    <w:rsid w:val="00C166EE"/>
    <w:rsid w:val="00C173F9"/>
    <w:rsid w:val="00C17A64"/>
    <w:rsid w:val="00C2162F"/>
    <w:rsid w:val="00C21E1D"/>
    <w:rsid w:val="00C22EC1"/>
    <w:rsid w:val="00C22ED3"/>
    <w:rsid w:val="00C237FE"/>
    <w:rsid w:val="00C23967"/>
    <w:rsid w:val="00C24350"/>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9AC"/>
    <w:rsid w:val="00C56AD2"/>
    <w:rsid w:val="00C575A1"/>
    <w:rsid w:val="00C576E1"/>
    <w:rsid w:val="00C57D20"/>
    <w:rsid w:val="00C57D52"/>
    <w:rsid w:val="00C6127F"/>
    <w:rsid w:val="00C625C9"/>
    <w:rsid w:val="00C62CDD"/>
    <w:rsid w:val="00C63209"/>
    <w:rsid w:val="00C6428E"/>
    <w:rsid w:val="00C6453C"/>
    <w:rsid w:val="00C64CA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5EA6"/>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12DF"/>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FD"/>
    <w:rsid w:val="00DE18F6"/>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6E9"/>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001"/>
    <w:rsid w:val="00E27B82"/>
    <w:rsid w:val="00E30AE5"/>
    <w:rsid w:val="00E31803"/>
    <w:rsid w:val="00E31BB7"/>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2233"/>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5FC7"/>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8F7"/>
    <w:rsid w:val="00ED09AA"/>
    <w:rsid w:val="00ED0FF9"/>
    <w:rsid w:val="00ED1ECE"/>
    <w:rsid w:val="00ED2E83"/>
    <w:rsid w:val="00ED3C2B"/>
    <w:rsid w:val="00ED4990"/>
    <w:rsid w:val="00ED49F6"/>
    <w:rsid w:val="00ED516F"/>
    <w:rsid w:val="00ED741E"/>
    <w:rsid w:val="00ED7DCC"/>
    <w:rsid w:val="00EE0047"/>
    <w:rsid w:val="00EE035D"/>
    <w:rsid w:val="00EE0D4F"/>
    <w:rsid w:val="00EE1191"/>
    <w:rsid w:val="00EE15E3"/>
    <w:rsid w:val="00EE1909"/>
    <w:rsid w:val="00EE213B"/>
    <w:rsid w:val="00EE2947"/>
    <w:rsid w:val="00EE35A0"/>
    <w:rsid w:val="00EE64DD"/>
    <w:rsid w:val="00EE66FD"/>
    <w:rsid w:val="00EE6A6B"/>
    <w:rsid w:val="00EE6CCF"/>
    <w:rsid w:val="00EF052F"/>
    <w:rsid w:val="00EF151B"/>
    <w:rsid w:val="00EF1874"/>
    <w:rsid w:val="00EF1EFB"/>
    <w:rsid w:val="00EF3217"/>
    <w:rsid w:val="00EF37AF"/>
    <w:rsid w:val="00EF4C4A"/>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02B2"/>
    <w:rsid w:val="00F112D3"/>
    <w:rsid w:val="00F116A6"/>
    <w:rsid w:val="00F11CE9"/>
    <w:rsid w:val="00F124CA"/>
    <w:rsid w:val="00F12654"/>
    <w:rsid w:val="00F13A42"/>
    <w:rsid w:val="00F13CA1"/>
    <w:rsid w:val="00F1513D"/>
    <w:rsid w:val="00F16D3F"/>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71958"/>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240"/>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51C4"/>
    <w:rsid w:val="00FD6216"/>
    <w:rsid w:val="00FD644C"/>
    <w:rsid w:val="00FD7D47"/>
    <w:rsid w:val="00FD7EBB"/>
    <w:rsid w:val="00FE02CB"/>
    <w:rsid w:val="00FE1611"/>
    <w:rsid w:val="00FE1CB9"/>
    <w:rsid w:val="00FE1FD9"/>
    <w:rsid w:val="00FE2C40"/>
    <w:rsid w:val="00FE314C"/>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2E215"/>
  <w15:docId w15:val="{F3C724EB-2DF2-4815-9AB9-F0CF80CE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7724A"/>
    <w:pPr>
      <w:spacing w:before="120" w:line="276" w:lineRule="auto"/>
      <w:ind w:left="1418" w:right="339"/>
      <w:jc w:val="both"/>
    </w:p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sz w:val="24"/>
    </w:rPr>
  </w:style>
  <w:style w:type="paragraph" w:styleId="Titolo3">
    <w:name w:val="heading 3"/>
    <w:basedOn w:val="Normale"/>
    <w:next w:val="Normale"/>
    <w:link w:val="Titolo3Carattere"/>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testo">
    <w:name w:val="Body Text"/>
    <w:basedOn w:val="Normale"/>
    <w:link w:val="Corpo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pPr>
      <w:spacing w:line="240" w:lineRule="auto"/>
    </w:pPr>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rsid w:val="00063D14"/>
    <w:pPr>
      <w:ind w:left="720"/>
      <w:contextualSpacing/>
    </w:p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Car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line="240" w:lineRule="auto"/>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051D5A"/>
    <w:pPr>
      <w:tabs>
        <w:tab w:val="left" w:pos="284"/>
        <w:tab w:val="right" w:leader="dot" w:pos="8505"/>
      </w:tabs>
      <w:spacing w:line="240" w:lineRule="auto"/>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stonotaapidipagina">
    <w:name w:val="footnote text"/>
    <w:aliases w:val="Footnote"/>
    <w:link w:val="TestonotaapidipaginaCarattere"/>
    <w:uiPriority w:val="99"/>
    <w:unhideWhenUsed/>
    <w:qFormat/>
    <w:rsid w:val="00115498"/>
    <w:rPr>
      <w:rFonts w:ascii="Trebuchet MS" w:hAnsi="Trebuchet MS"/>
      <w:color w:val="A6A7A9" w:themeColor="accent5"/>
      <w:sz w:val="14"/>
    </w:rPr>
  </w:style>
  <w:style w:type="character" w:customStyle="1" w:styleId="TestonotaapidipaginaCarattere">
    <w:name w:val="Testo nota a piè di pagina Carattere"/>
    <w:aliases w:val="Footnote Carattere"/>
    <w:basedOn w:val="Carpredefinitoparagrafo"/>
    <w:link w:val="Testonotaapidipagina"/>
    <w:uiPriority w:val="99"/>
    <w:rsid w:val="00115498"/>
    <w:rPr>
      <w:rFonts w:ascii="Trebuchet MS" w:hAnsi="Trebuchet MS"/>
      <w:color w:val="A6A7A9" w:themeColor="accent5"/>
      <w:sz w:val="14"/>
    </w:rPr>
  </w:style>
  <w:style w:type="character" w:styleId="Rimandonotaapidipagina">
    <w:name w:val="footnote reference"/>
    <w:aliases w:val="ESPON Footnote No"/>
    <w:basedOn w:val="Car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rsid w:val="003C39D2"/>
    <w:pPr>
      <w:keepNext/>
      <w:spacing w:after="120" w:line="240" w:lineRule="auto"/>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Tabellanormale"/>
    <w:uiPriority w:val="99"/>
    <w:rsid w:val="005158CB"/>
    <w:rPr>
      <w:rFonts w:ascii="Trebuchet MS" w:hAnsi="Trebuchet MS"/>
    </w:rP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Titolo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A61ED0"/>
    <w:rPr>
      <w:rFonts w:ascii="Trebuchet MS" w:hAnsi="Trebuchet MS"/>
      <w:sz w:val="18"/>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Tabellanormale"/>
    <w:uiPriority w:val="50"/>
    <w:rsid w:val="00A61ED0"/>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left="0" w:right="28"/>
      <w:jc w:val="left"/>
    </w:pPr>
    <w:rPr>
      <w:color w:val="FFFFFF" w:themeColor="background1"/>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Titolo2Carattere"/>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ale"/>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Carpredefinitoparagrafo"/>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ale"/>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e"/>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Carpredefinitoparagrafo"/>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1"/>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Citazione">
    <w:name w:val="Quote"/>
    <w:aliases w:val="CE-Quotation"/>
    <w:basedOn w:val="Normale"/>
    <w:next w:val="CE-StandardText"/>
    <w:link w:val="CitazioneCarattere"/>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CitazioneCarattere">
    <w:name w:val="Citazione Carattere"/>
    <w:aliases w:val="CE-Quotation Carattere"/>
    <w:basedOn w:val="Carpredefinitoparagrafo"/>
    <w:link w:val="Citazione"/>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Tabellanormale"/>
    <w:uiPriority w:val="50"/>
    <w:rsid w:val="008E6E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BulletPoint2">
    <w:name w:val="CE-BulletPoint2"/>
    <w:basedOn w:val="Normale"/>
    <w:link w:val="CE-BulletPoint2Zchn"/>
    <w:qFormat/>
    <w:rsid w:val="008E0D30"/>
    <w:pPr>
      <w:numPr>
        <w:numId w:val="24"/>
      </w:numPr>
      <w:ind w:left="568" w:right="0" w:hanging="284"/>
      <w:jc w:val="left"/>
    </w:pPr>
    <w:rPr>
      <w:rFonts w:ascii="Trebuchet MS" w:hAnsi="Trebuchet MS"/>
      <w:color w:val="4D4D4E" w:themeColor="text2"/>
      <w:szCs w:val="18"/>
      <w:lang w:val="en-GB"/>
    </w:rPr>
  </w:style>
  <w:style w:type="character" w:customStyle="1" w:styleId="CE-BulletPoint2Zchn">
    <w:name w:val="CE-BulletPoint2 Zchn"/>
    <w:basedOn w:val="Carpredefinitoparagrafo"/>
    <w:link w:val="CE-BulletPoint2"/>
    <w:rsid w:val="008E0D30"/>
    <w:rPr>
      <w:rFonts w:ascii="Trebuchet MS" w:hAnsi="Trebuchet MS"/>
      <w:color w:val="4D4D4E" w:themeColor="text2"/>
      <w:szCs w:val="18"/>
      <w:lang w:val="en-GB"/>
    </w:rPr>
  </w:style>
  <w:style w:type="paragraph" w:customStyle="1" w:styleId="CE-BulletPoint1">
    <w:name w:val="CE-BulletPoint1"/>
    <w:basedOn w:val="CE-StandardText"/>
    <w:link w:val="CE-BulletPoint1Zchn"/>
    <w:qFormat/>
    <w:rsid w:val="00B444D7"/>
    <w:pPr>
      <w:numPr>
        <w:numId w:val="25"/>
      </w:numPr>
      <w:spacing w:before="120" w:line="276" w:lineRule="auto"/>
      <w:ind w:left="284" w:hanging="284"/>
      <w:jc w:val="left"/>
    </w:pPr>
    <w:rPr>
      <w:lang w:val="en-GB"/>
    </w:rPr>
  </w:style>
  <w:style w:type="character" w:customStyle="1" w:styleId="CE-BulletPoint1Zchn">
    <w:name w:val="CE-BulletPoint1 Zchn"/>
    <w:basedOn w:val="CE-StandardTextZchn"/>
    <w:link w:val="CE-BulletPoint1"/>
    <w:rsid w:val="00B444D7"/>
    <w:rPr>
      <w:rFonts w:ascii="Trebuchet MS" w:hAnsi="Trebuchet MS"/>
      <w:color w:val="4D4D4E" w:themeColor="text2"/>
      <w:sz w:val="18"/>
      <w:szCs w:val="18"/>
      <w:lang w:val="en-GB"/>
    </w:rPr>
  </w:style>
  <w:style w:type="paragraph" w:styleId="PreformattatoHTML">
    <w:name w:val="HTML Preformatted"/>
    <w:basedOn w:val="Normale"/>
    <w:link w:val="PreformattatoHTMLCarattere"/>
    <w:uiPriority w:val="99"/>
    <w:unhideWhenUsed/>
    <w:qFormat/>
    <w:rsid w:val="00B4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0" w:line="240" w:lineRule="auto"/>
      <w:ind w:left="0" w:right="0"/>
      <w:jc w:val="left"/>
    </w:pPr>
    <w:rPr>
      <w:rFonts w:ascii="Courier New" w:eastAsia="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rsid w:val="00B444D7"/>
    <w:rPr>
      <w:rFonts w:ascii="Courier New" w:eastAsia="Courier New" w:hAnsi="Courier New" w:cs="Courier New"/>
      <w:lang w:val="it-IT" w:eastAsia="it-IT"/>
    </w:rPr>
  </w:style>
  <w:style w:type="paragraph" w:customStyle="1" w:styleId="tbl-norm">
    <w:name w:val="tbl-norm"/>
    <w:basedOn w:val="Normale"/>
    <w:rsid w:val="00B444D7"/>
    <w:pPr>
      <w:spacing w:before="100" w:beforeAutospacing="1" w:after="100" w:afterAutospacing="1" w:line="240" w:lineRule="auto"/>
      <w:ind w:left="0" w:right="0"/>
      <w:jc w:val="left"/>
    </w:pPr>
    <w:rPr>
      <w:sz w:val="24"/>
      <w:szCs w:val="24"/>
      <w:lang w:val="it-IT" w:eastAsia="it-IT"/>
    </w:rPr>
  </w:style>
  <w:style w:type="paragraph" w:customStyle="1" w:styleId="Normale1">
    <w:name w:val="Normale1"/>
    <w:basedOn w:val="Normale"/>
    <w:rsid w:val="00B444D7"/>
    <w:pPr>
      <w:spacing w:before="100" w:beforeAutospacing="1" w:after="100" w:afterAutospacing="1" w:line="240" w:lineRule="auto"/>
      <w:ind w:left="0" w:right="0"/>
      <w:jc w:val="left"/>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993561518">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reg-central.eu/Content.Node/Focus-IN-CD.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liachia-info.it/focusinc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focusincd/" TargetMode="External"/><Relationship Id="rId4" Type="http://schemas.openxmlformats.org/officeDocument/2006/relationships/settings" Target="settings.xml"/><Relationship Id="rId9" Type="http://schemas.openxmlformats.org/officeDocument/2006/relationships/hyperlink" Target="https://www.interreg-central.eu/Content.Node/Focus-IN-CD.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0759B-91DA-4806-8C8D-960D5E75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924</Words>
  <Characters>5272</Characters>
  <Application>Microsoft Office Word</Application>
  <DocSecurity>0</DocSecurity>
  <Lines>43</Lines>
  <Paragraphs>12</Paragraphs>
  <ScaleCrop>false</ScaleCrop>
  <HeadingPairs>
    <vt:vector size="8" baseType="variant">
      <vt:variant>
        <vt:lpstr>Titolo</vt:lpstr>
      </vt:variant>
      <vt:variant>
        <vt:i4>1</vt:i4>
      </vt:variant>
      <vt:variant>
        <vt:lpstr>Naslov</vt:lpstr>
      </vt:variant>
      <vt:variant>
        <vt:i4>1</vt:i4>
      </vt:variant>
      <vt:variant>
        <vt:lpstr>Titel</vt:lpstr>
      </vt:variant>
      <vt:variant>
        <vt:i4>1</vt:i4>
      </vt:variant>
      <vt:variant>
        <vt:lpstr>Title</vt:lpstr>
      </vt:variant>
      <vt:variant>
        <vt:i4>1</vt:i4>
      </vt:variant>
    </vt:vector>
  </HeadingPairs>
  <TitlesOfParts>
    <vt:vector size="4" baseType="lpstr">
      <vt:lpstr>Implementation manual</vt:lpstr>
      <vt:lpstr>Implementation manual</vt:lpstr>
      <vt:lpstr>Implementation manual</vt:lpstr>
      <vt:lpstr>Implementation manual</vt:lpstr>
    </vt:vector>
  </TitlesOfParts>
  <Company>Magistrat der Stadt Wien, MA 14 - ADV</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lastModifiedBy>daniele sblattero</cp:lastModifiedBy>
  <cp:revision>15</cp:revision>
  <cp:lastPrinted>2016-10-14T07:30:00Z</cp:lastPrinted>
  <dcterms:created xsi:type="dcterms:W3CDTF">2019-05-15T14:20:00Z</dcterms:created>
  <dcterms:modified xsi:type="dcterms:W3CDTF">2019-05-16T14:27:00Z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