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08" w:rsidRDefault="0064612D" w:rsidP="001A593E">
      <w:pPr>
        <w:pStyle w:val="CE-StandardText"/>
      </w:pPr>
      <w:r>
        <w:rPr>
          <w:noProof/>
          <w:lang w:eastAsia="en-GB"/>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292333" w:rsidRPr="00290F2D">
        <w:rPr>
          <w:noProof/>
          <w:lang w:eastAsia="en-GB"/>
        </w:rPr>
        <w:drawing>
          <wp:anchor distT="0" distB="0" distL="114300" distR="114300" simplePos="0" relativeHeight="251673600" behindDoc="0" locked="0" layoutInCell="1" allowOverlap="1" wp14:anchorId="7B4FC237" wp14:editId="3DDAA12E">
            <wp:simplePos x="0" y="0"/>
            <wp:positionH relativeFrom="column">
              <wp:posOffset>223520</wp:posOffset>
            </wp:positionH>
            <wp:positionV relativeFrom="paragraph">
              <wp:posOffset>-746760</wp:posOffset>
            </wp:positionV>
            <wp:extent cx="2095700" cy="903249"/>
            <wp:effectExtent l="0" t="0" r="0" b="0"/>
            <wp:wrapNone/>
            <wp:docPr id="1" name="Kép 1"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12101" cy="910318"/>
                    </a:xfrm>
                    <a:prstGeom prst="rect">
                      <a:avLst/>
                    </a:prstGeom>
                    <a:noFill/>
                    <a:ln>
                      <a:noFill/>
                    </a:ln>
                  </pic:spPr>
                </pic:pic>
              </a:graphicData>
            </a:graphic>
            <wp14:sizeRelH relativeFrom="page">
              <wp14:pctWidth>0</wp14:pctWidth>
            </wp14:sizeRelH>
            <wp14:sizeRelV relativeFrom="page">
              <wp14:pctHeight>0</wp14:pctHeight>
            </wp14:sizeRelV>
          </wp:anchor>
        </w:drawing>
      </w:r>
      <w:r w:rsidR="003941E0">
        <w:rPr>
          <w:noProof/>
          <w:lang w:eastAsia="en-GB"/>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292333" w:rsidRDefault="00292333" w:rsidP="00292333">
                            <w:pPr>
                              <w:pStyle w:val="CE-HeadlineTitle"/>
                            </w:pPr>
                            <w:r>
                              <w:t>SENTINEL – CE985</w:t>
                            </w:r>
                          </w:p>
                          <w:p w:rsidR="00A61094" w:rsidRDefault="00A61094" w:rsidP="001A593E">
                            <w:pPr>
                              <w:pStyle w:val="CE-HeadlineTitle"/>
                            </w:pPr>
                            <w:r>
                              <w:b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CcT33u&#10;4AAAAAoBAAAPAAAAZHJzL2Rvd25yZXYueG1sTI9BT8MwDIXvSPyHyEjcWLqglqk0naZKExKCw8Yu&#10;3NLGaysapzTZVvj1mBOc/J789Py5WM9uEGecQu9Jw3KRgEBqvO2p1XB4296tQIRoyJrBE2r4wgDr&#10;8vqqMLn1F9rheR9bwSUUcqOhi3HMpQxNh86EhR+ReHf0kzOR7dRKO5kLl7tBqiTJpDM98YXOjFh1&#10;2HzsT07Dc7V9NbtaudX3UD29HDfj5+E91fr2Zt48gog4x78w/OIzOpTMVPsT2SAG9mrJSZ5ZyoID&#10;DyphUWu4V2kGsizk/xfKHwAAAP//AwBQSwECLQAUAAYACAAAACEAtoM4kv4AAADhAQAAEwAAAAAA&#10;AAAAAAAAAAAAAAAAW0NvbnRlbnRfVHlwZXNdLnhtbFBLAQItABQABgAIAAAAIQA4/SH/1gAAAJQB&#10;AAALAAAAAAAAAAAAAAAAAC8BAABfcmVscy8ucmVsc1BLAQItABQABgAIAAAAIQAcIoGPQQIAAHkE&#10;AAAOAAAAAAAAAAAAAAAAAC4CAABkcnMvZTJvRG9jLnhtbFBLAQItABQABgAIAAAAIQCcT33u4AAA&#10;AAoBAAAPAAAAAAAAAAAAAAAAAJsEAABkcnMvZG93bnJldi54bWxQSwUGAAAAAAQABADzAAAAqAUA&#10;AAAA&#10;" filled="f" stroked="f" strokeweight=".5pt">
                <v:textbox>
                  <w:txbxContent>
                    <w:p w:rsidR="00292333" w:rsidRDefault="00292333" w:rsidP="00292333">
                      <w:pPr>
                        <w:pStyle w:val="CE-HeadlineTitle"/>
                      </w:pPr>
                      <w:r>
                        <w:t>SENTINEL – CE985</w:t>
                      </w:r>
                    </w:p>
                    <w:p w:rsidR="00A61094" w:rsidRDefault="00A61094" w:rsidP="001A593E">
                      <w:pPr>
                        <w:pStyle w:val="CE-HeadlineTitle"/>
                      </w:pPr>
                      <w:r>
                        <w:br/>
                        <w:t>Title</w:t>
                      </w:r>
                    </w:p>
                  </w:txbxContent>
                </v:textbox>
              </v:shape>
            </w:pict>
          </mc:Fallback>
        </mc:AlternateConten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Sprotnaopomba-besedilo"/>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Tabelamre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Tr="002B109E">
        <w:tc>
          <w:tcPr>
            <w:tcW w:w="6391" w:type="dxa"/>
            <w:vAlign w:val="center"/>
          </w:tcPr>
          <w:p w:rsidR="002B109E" w:rsidRDefault="008F1435" w:rsidP="002B109E">
            <w:pPr>
              <w:pStyle w:val="CE-HeadlineSubtitle"/>
              <w:rPr>
                <w:sz w:val="52"/>
              </w:rPr>
            </w:pPr>
            <w:r w:rsidRPr="008F1435">
              <w:rPr>
                <w:sz w:val="52"/>
              </w:rPr>
              <w:t>O.T3.2 – Policy recommendations targeted at national level</w:t>
            </w:r>
          </w:p>
          <w:p w:rsidR="008F1435" w:rsidRDefault="008F1435" w:rsidP="002B109E">
            <w:pPr>
              <w:pStyle w:val="CE-HeadlineSubtitle"/>
              <w:rPr>
                <w:sz w:val="52"/>
              </w:rPr>
            </w:pPr>
          </w:p>
          <w:p w:rsidR="008F1435" w:rsidRPr="004C693F" w:rsidRDefault="004C693F" w:rsidP="002B109E">
            <w:pPr>
              <w:pStyle w:val="CE-HeadlineSubtitle"/>
              <w:rPr>
                <w:i/>
                <w:sz w:val="44"/>
                <w:u w:val="single"/>
              </w:rPr>
            </w:pPr>
            <w:r w:rsidRPr="004C693F">
              <w:rPr>
                <w:i/>
                <w:sz w:val="44"/>
                <w:u w:val="single"/>
              </w:rPr>
              <w:t>Executive summary in English</w:t>
            </w:r>
          </w:p>
          <w:p w:rsidR="008F1435" w:rsidRDefault="008F1435" w:rsidP="002B109E">
            <w:pPr>
              <w:pStyle w:val="CE-HeadlineSubtitle"/>
              <w:rPr>
                <w:sz w:val="52"/>
              </w:rPr>
            </w:pPr>
          </w:p>
          <w:p w:rsidR="008F1435" w:rsidRDefault="00421021" w:rsidP="002B109E">
            <w:pPr>
              <w:pStyle w:val="CE-HeadlineSubtitle"/>
            </w:pPr>
            <w:r>
              <w:rPr>
                <w:sz w:val="52"/>
              </w:rPr>
              <w:t>SLOVENIJA</w:t>
            </w:r>
          </w:p>
        </w:tc>
        <w:tc>
          <w:tcPr>
            <w:tcW w:w="2694" w:type="dxa"/>
            <w:vAlign w:val="center"/>
          </w:tcPr>
          <w:p w:rsidR="002B109E" w:rsidRDefault="002B109E" w:rsidP="002B109E">
            <w:pPr>
              <w:pStyle w:val="CE-HeadlineSubtitle"/>
              <w:jc w:val="right"/>
            </w:pPr>
            <w:r>
              <w:t>Version 1</w:t>
            </w:r>
          </w:p>
          <w:p w:rsidR="002B109E" w:rsidRDefault="00421021" w:rsidP="002B109E">
            <w:pPr>
              <w:pStyle w:val="CE-HeadlineSubtitle"/>
              <w:jc w:val="right"/>
            </w:pPr>
            <w:r w:rsidRPr="00BE723F">
              <w:t>April</w:t>
            </w:r>
            <w:r w:rsidR="008F1435">
              <w:t xml:space="preserve"> 2020</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Pr="00A333D2" w:rsidRDefault="008F1435" w:rsidP="00B34F51">
      <w:pPr>
        <w:pStyle w:val="CE-StandardText"/>
        <w:rPr>
          <w:rFonts w:asciiTheme="majorHAnsi" w:hAnsiTheme="majorHAnsi"/>
          <w:color w:val="auto"/>
          <w:sz w:val="24"/>
        </w:rPr>
      </w:pPr>
      <w:r w:rsidRPr="00A333D2">
        <w:rPr>
          <w:rFonts w:asciiTheme="majorHAnsi" w:hAnsiTheme="majorHAnsi"/>
          <w:color w:val="auto"/>
          <w:sz w:val="24"/>
        </w:rPr>
        <w:t>Prepared by:</w:t>
      </w:r>
    </w:p>
    <w:p w:rsidR="00A333D2" w:rsidRDefault="00421021" w:rsidP="00421021">
      <w:pPr>
        <w:pStyle w:val="CE-StandardText"/>
        <w:rPr>
          <w:rFonts w:asciiTheme="majorHAnsi" w:hAnsiTheme="majorHAnsi"/>
          <w:color w:val="auto"/>
          <w:sz w:val="24"/>
        </w:rPr>
      </w:pPr>
      <w:r w:rsidRPr="00BE723F">
        <w:rPr>
          <w:rFonts w:asciiTheme="majorHAnsi" w:hAnsiTheme="majorHAnsi"/>
          <w:color w:val="auto"/>
          <w:sz w:val="24"/>
        </w:rPr>
        <w:t>Sklad 05</w:t>
      </w:r>
      <w:r w:rsidR="00A333D2">
        <w:rPr>
          <w:rFonts w:asciiTheme="majorHAnsi" w:hAnsiTheme="majorHAnsi"/>
          <w:color w:val="auto"/>
          <w:sz w:val="24"/>
        </w:rPr>
        <w:t xml:space="preserve"> – Foundation for Social and Impact Investment</w:t>
      </w:r>
    </w:p>
    <w:p w:rsidR="00421021" w:rsidRDefault="00421021" w:rsidP="00421021">
      <w:pPr>
        <w:pStyle w:val="CE-StandardText"/>
        <w:rPr>
          <w:sz w:val="24"/>
        </w:rPr>
      </w:pPr>
      <w:r w:rsidRPr="00A333D2">
        <w:rPr>
          <w:rFonts w:asciiTheme="majorHAnsi" w:hAnsiTheme="majorHAnsi"/>
          <w:color w:val="auto"/>
          <w:sz w:val="24"/>
        </w:rPr>
        <w:t>in cooperation with</w:t>
      </w:r>
      <w:r w:rsidRPr="00BE723F">
        <w:rPr>
          <w:sz w:val="24"/>
        </w:rPr>
        <w:t xml:space="preserve"> </w:t>
      </w:r>
    </w:p>
    <w:p w:rsidR="00421021" w:rsidRDefault="00421021" w:rsidP="00421021">
      <w:pPr>
        <w:pStyle w:val="CE-StandardText"/>
        <w:rPr>
          <w:rFonts w:asciiTheme="majorHAnsi" w:hAnsiTheme="majorHAnsi"/>
          <w:color w:val="auto"/>
          <w:sz w:val="24"/>
        </w:rPr>
      </w:pPr>
      <w:r>
        <w:rPr>
          <w:rFonts w:asciiTheme="majorHAnsi" w:hAnsiTheme="majorHAnsi"/>
          <w:color w:val="auto"/>
          <w:sz w:val="24"/>
        </w:rPr>
        <w:t>Prizma</w:t>
      </w:r>
      <w:r w:rsidR="00A333D2">
        <w:rPr>
          <w:rFonts w:asciiTheme="majorHAnsi" w:hAnsiTheme="majorHAnsi"/>
          <w:color w:val="auto"/>
          <w:sz w:val="24"/>
        </w:rPr>
        <w:t xml:space="preserve"> - </w:t>
      </w:r>
      <w:r w:rsidR="00A333D2" w:rsidRPr="00A333D2">
        <w:rPr>
          <w:rFonts w:asciiTheme="majorHAnsi" w:hAnsiTheme="majorHAnsi"/>
          <w:color w:val="auto"/>
          <w:sz w:val="24"/>
        </w:rPr>
        <w:t>Foundation for Improvement of Employment Possibilities</w:t>
      </w:r>
    </w:p>
    <w:p w:rsidR="00421021" w:rsidRPr="00FC473D" w:rsidRDefault="00421021" w:rsidP="00421021">
      <w:pPr>
        <w:pStyle w:val="CE-StandardText"/>
        <w:rPr>
          <w:rFonts w:asciiTheme="majorHAnsi" w:hAnsiTheme="majorHAnsi"/>
          <w:color w:val="auto"/>
          <w:sz w:val="18"/>
        </w:rPr>
      </w:pPr>
      <w:r w:rsidRPr="00FC473D">
        <w:rPr>
          <w:rFonts w:asciiTheme="majorHAnsi" w:hAnsiTheme="majorHAnsi"/>
          <w:color w:val="auto"/>
          <w:sz w:val="18"/>
        </w:rPr>
        <w:t>mag. Primož Šporar</w:t>
      </w:r>
    </w:p>
    <w:p w:rsidR="00542334" w:rsidRDefault="004C693F" w:rsidP="004C693F">
      <w:pPr>
        <w:pStyle w:val="CE-HeadlineSubtitle"/>
        <w:jc w:val="both"/>
      </w:pPr>
      <w:r w:rsidRPr="004C693F">
        <w:lastRenderedPageBreak/>
        <w:t>National context/environment of social economy</w:t>
      </w:r>
      <w:r>
        <w:t xml:space="preserve"> and </w:t>
      </w:r>
      <w:r w:rsidRPr="004C693F">
        <w:t xml:space="preserve">description of the challenge/problem which the </w:t>
      </w:r>
      <w:r>
        <w:t>recommendations aim</w:t>
      </w:r>
      <w:r w:rsidRPr="004C693F">
        <w:t xml:space="preserve"> to tackle</w:t>
      </w:r>
      <w:r>
        <w:t xml:space="preserve"> </w:t>
      </w:r>
    </w:p>
    <w:p w:rsidR="00542334" w:rsidRDefault="00542334" w:rsidP="004C693F">
      <w:pPr>
        <w:pStyle w:val="CE-StandardText"/>
      </w:pPr>
    </w:p>
    <w:p w:rsidR="00BE723F" w:rsidRPr="003C24F2" w:rsidRDefault="00BE723F" w:rsidP="00BE723F">
      <w:pPr>
        <w:ind w:left="709" w:right="0"/>
        <w:rPr>
          <w:rFonts w:asciiTheme="majorHAnsi" w:hAnsiTheme="majorHAnsi"/>
          <w:lang w:val="en-GB"/>
        </w:rPr>
      </w:pPr>
      <w:r w:rsidRPr="003C24F2">
        <w:rPr>
          <w:rFonts w:asciiTheme="majorHAnsi" w:hAnsiTheme="majorHAnsi"/>
          <w:lang w:val="en-GB"/>
        </w:rPr>
        <w:t>More systematic approach to the social economy in Slovenia dates back the 1990s, with key legislation adopted in 2011 (the Social Entrepreneurship Act) and later amended in 2018. The self-organization of the sector began more systematically after 2007</w:t>
      </w:r>
      <w:r w:rsidRPr="003C24F2">
        <w:rPr>
          <w:rStyle w:val="gt-text"/>
          <w:lang w:val="en-GB"/>
        </w:rPr>
        <w:t>.</w:t>
      </w:r>
    </w:p>
    <w:p w:rsidR="00BE723F" w:rsidRPr="003C24F2" w:rsidRDefault="00BE723F" w:rsidP="00BE723F">
      <w:pPr>
        <w:spacing w:before="240" w:after="240"/>
        <w:ind w:left="709" w:right="0"/>
        <w:rPr>
          <w:rFonts w:asciiTheme="minorHAnsi" w:hAnsiTheme="minorHAnsi"/>
          <w:lang w:val="en-GB"/>
        </w:rPr>
      </w:pPr>
      <w:r w:rsidRPr="003C24F2">
        <w:rPr>
          <w:rFonts w:asciiTheme="minorHAnsi" w:hAnsiTheme="minorHAnsi"/>
          <w:lang w:val="en-GB"/>
        </w:rPr>
        <w:t>There are 260 registered social enterprises in Slovenia and many more non-governmental organizations with some characteristics of SE stakeholders.</w:t>
      </w:r>
    </w:p>
    <w:p w:rsidR="00BE723F" w:rsidRPr="003C24F2" w:rsidRDefault="00BE723F" w:rsidP="00BE723F">
      <w:pPr>
        <w:spacing w:before="240" w:after="240"/>
        <w:ind w:left="709" w:right="0"/>
        <w:rPr>
          <w:rFonts w:asciiTheme="majorHAnsi" w:hAnsiTheme="majorHAnsi"/>
          <w:lang w:val="en-GB"/>
        </w:rPr>
      </w:pPr>
      <w:r w:rsidRPr="003C24F2">
        <w:rPr>
          <w:rFonts w:asciiTheme="majorHAnsi" w:hAnsiTheme="majorHAnsi"/>
          <w:lang w:val="en-GB"/>
        </w:rPr>
        <w:t>The support environment for SE in Slovenia is diverse and encompasses several levels (national, local, different actors). Support for the social economy otherwise falls into two areas - support for the employment of vulnerable groups and support for business start-up/growth. Local communities play a limited role in support, and equally limited support is provided by "self-organized" NGOs and social enterprises that have "specialized" in support. In the case of the latter, the limitations are related in particular to human resources, insufficient or inconsistent standards of competence, business sustainability, etc.</w:t>
      </w:r>
    </w:p>
    <w:p w:rsidR="00BE723F" w:rsidRPr="003C24F2" w:rsidRDefault="00BE723F" w:rsidP="00BE723F">
      <w:pPr>
        <w:ind w:left="0" w:right="0" w:firstLine="709"/>
        <w:rPr>
          <w:rFonts w:asciiTheme="majorHAnsi" w:hAnsiTheme="majorHAnsi"/>
          <w:lang w:val="en-GB"/>
        </w:rPr>
      </w:pPr>
      <w:r w:rsidRPr="003C24F2">
        <w:rPr>
          <w:rFonts w:asciiTheme="majorHAnsi" w:hAnsiTheme="majorHAnsi"/>
          <w:lang w:val="en-GB"/>
        </w:rPr>
        <w:t>The following key challenges related to SE have been recognized in recent years:</w:t>
      </w:r>
    </w:p>
    <w:p w:rsidR="00BE723F" w:rsidRPr="003C24F2" w:rsidRDefault="00BE723F" w:rsidP="00BE723F">
      <w:pPr>
        <w:pStyle w:val="Odstavekseznama"/>
        <w:numPr>
          <w:ilvl w:val="0"/>
          <w:numId w:val="39"/>
        </w:numPr>
        <w:ind w:right="0"/>
        <w:rPr>
          <w:rFonts w:asciiTheme="majorHAnsi" w:hAnsiTheme="majorHAnsi"/>
          <w:lang w:val="en-GB"/>
        </w:rPr>
      </w:pPr>
      <w:r w:rsidRPr="003C24F2">
        <w:rPr>
          <w:rFonts w:asciiTheme="majorHAnsi" w:hAnsiTheme="majorHAnsi"/>
          <w:lang w:val="en-GB"/>
        </w:rPr>
        <w:t>Terminological and other ambiguities related to the distinction between social economy and social entrepreneurship and other concepts.</w:t>
      </w:r>
    </w:p>
    <w:p w:rsidR="00BE723F" w:rsidRPr="003C24F2" w:rsidRDefault="00BE723F" w:rsidP="00BE723F">
      <w:pPr>
        <w:pStyle w:val="Odstavekseznama"/>
        <w:ind w:left="1800" w:right="0"/>
        <w:rPr>
          <w:rFonts w:asciiTheme="majorHAnsi" w:hAnsiTheme="majorHAnsi"/>
          <w:lang w:val="en-GB"/>
        </w:rPr>
      </w:pPr>
    </w:p>
    <w:p w:rsidR="00BE723F" w:rsidRPr="003C24F2" w:rsidRDefault="00BE723F" w:rsidP="00BE723F">
      <w:pPr>
        <w:pStyle w:val="Odstavekseznama"/>
        <w:numPr>
          <w:ilvl w:val="0"/>
          <w:numId w:val="39"/>
        </w:numPr>
        <w:ind w:right="0"/>
        <w:rPr>
          <w:rFonts w:asciiTheme="majorHAnsi" w:hAnsiTheme="majorHAnsi"/>
          <w:lang w:val="en-GB"/>
        </w:rPr>
      </w:pPr>
      <w:r w:rsidRPr="003C24F2">
        <w:rPr>
          <w:rFonts w:asciiTheme="majorHAnsi" w:hAnsiTheme="majorHAnsi"/>
          <w:lang w:val="en-GB"/>
        </w:rPr>
        <w:t>Strategic measures and non-implementation of the adopted regulation (Social Enterprise Council, Financial Fund, untapped potential of the role of local communities, etc.).</w:t>
      </w:r>
    </w:p>
    <w:p w:rsidR="00BE723F" w:rsidRPr="003C24F2" w:rsidRDefault="00BE723F" w:rsidP="00BE723F">
      <w:pPr>
        <w:pStyle w:val="Odstavekseznama"/>
        <w:rPr>
          <w:rFonts w:asciiTheme="majorHAnsi" w:hAnsiTheme="majorHAnsi"/>
          <w:lang w:val="en-GB"/>
        </w:rPr>
      </w:pPr>
    </w:p>
    <w:p w:rsidR="00BE723F" w:rsidRPr="003C24F2" w:rsidRDefault="00BE723F" w:rsidP="00BE723F">
      <w:pPr>
        <w:pStyle w:val="Odstavekseznama"/>
        <w:numPr>
          <w:ilvl w:val="0"/>
          <w:numId w:val="39"/>
        </w:numPr>
        <w:ind w:right="0"/>
        <w:rPr>
          <w:rFonts w:asciiTheme="majorHAnsi" w:hAnsiTheme="majorHAnsi"/>
          <w:lang w:val="en-GB"/>
        </w:rPr>
      </w:pPr>
      <w:r w:rsidRPr="003C24F2">
        <w:rPr>
          <w:rFonts w:asciiTheme="majorHAnsi" w:hAnsiTheme="majorHAnsi"/>
          <w:lang w:val="en-GB"/>
        </w:rPr>
        <w:t>Efficiency and quality of the support environment and SE networking</w:t>
      </w:r>
      <w:r w:rsidRPr="003C24F2">
        <w:rPr>
          <w:rStyle w:val="gt-text"/>
          <w:lang w:val="en-GB"/>
        </w:rPr>
        <w:t>.</w:t>
      </w:r>
    </w:p>
    <w:p w:rsidR="00BE723F" w:rsidRPr="003C24F2" w:rsidRDefault="00BE723F" w:rsidP="00BE723F">
      <w:pPr>
        <w:pStyle w:val="Odstavekseznama"/>
        <w:ind w:left="1800" w:right="0"/>
        <w:rPr>
          <w:rFonts w:asciiTheme="majorHAnsi" w:hAnsiTheme="majorHAnsi"/>
          <w:lang w:val="en-GB"/>
        </w:rPr>
      </w:pPr>
    </w:p>
    <w:p w:rsidR="00BE723F" w:rsidRPr="003C24F2" w:rsidRDefault="00BE723F" w:rsidP="00BE723F">
      <w:pPr>
        <w:pStyle w:val="Odstavekseznama"/>
        <w:numPr>
          <w:ilvl w:val="0"/>
          <w:numId w:val="39"/>
        </w:numPr>
        <w:ind w:right="0"/>
        <w:rPr>
          <w:rFonts w:asciiTheme="majorHAnsi" w:hAnsiTheme="majorHAnsi"/>
          <w:lang w:val="en-GB"/>
        </w:rPr>
      </w:pPr>
      <w:r w:rsidRPr="003C24F2">
        <w:rPr>
          <w:rFonts w:asciiTheme="majorHAnsi" w:hAnsiTheme="majorHAnsi"/>
          <w:lang w:val="en-GB"/>
        </w:rPr>
        <w:t>Limited financial market and plurality of instruments</w:t>
      </w:r>
    </w:p>
    <w:p w:rsidR="00BE723F" w:rsidRPr="003C24F2" w:rsidRDefault="00BE723F" w:rsidP="00BE723F">
      <w:pPr>
        <w:pStyle w:val="Odstavekseznama"/>
        <w:ind w:left="1800" w:right="0"/>
        <w:rPr>
          <w:rFonts w:asciiTheme="majorHAnsi" w:hAnsiTheme="majorHAnsi"/>
          <w:lang w:val="en-GB"/>
        </w:rPr>
      </w:pPr>
    </w:p>
    <w:p w:rsidR="00BE723F" w:rsidRPr="003C24F2" w:rsidRDefault="00BE723F" w:rsidP="00BE723F">
      <w:pPr>
        <w:pStyle w:val="Odstavekseznama"/>
        <w:numPr>
          <w:ilvl w:val="0"/>
          <w:numId w:val="39"/>
        </w:numPr>
        <w:ind w:right="0"/>
        <w:rPr>
          <w:rFonts w:asciiTheme="majorHAnsi" w:hAnsiTheme="majorHAnsi"/>
          <w:lang w:val="en-GB"/>
        </w:rPr>
      </w:pPr>
      <w:r w:rsidRPr="003C24F2">
        <w:rPr>
          <w:rFonts w:asciiTheme="majorHAnsi" w:hAnsiTheme="majorHAnsi"/>
          <w:lang w:val="en-GB"/>
        </w:rPr>
        <w:t xml:space="preserve">The weak presence of social enterprises in the market for the sale of goods and services </w:t>
      </w:r>
    </w:p>
    <w:p w:rsidR="004C693F" w:rsidRDefault="004C693F" w:rsidP="004C693F">
      <w:pPr>
        <w:pStyle w:val="CE-StandardText"/>
      </w:pPr>
    </w:p>
    <w:p w:rsidR="004C693F" w:rsidRDefault="004C693F" w:rsidP="004C693F">
      <w:pPr>
        <w:pStyle w:val="CE-StandardText"/>
      </w:pPr>
    </w:p>
    <w:p w:rsidR="00BE723F" w:rsidRDefault="00BE723F" w:rsidP="004C693F">
      <w:pPr>
        <w:pStyle w:val="CE-StandardText"/>
      </w:pPr>
    </w:p>
    <w:p w:rsidR="005A1C94" w:rsidRDefault="005A1C94" w:rsidP="005A1C94">
      <w:pPr>
        <w:pStyle w:val="CE-HeadlineSubtitle"/>
        <w:jc w:val="both"/>
      </w:pPr>
      <w:r>
        <w:t xml:space="preserve">Main SENTINEL activities and results leading to the recommendations </w:t>
      </w:r>
    </w:p>
    <w:p w:rsidR="00BE723F" w:rsidRDefault="00BE723F" w:rsidP="00BE723F">
      <w:pPr>
        <w:ind w:left="709" w:right="0"/>
        <w:rPr>
          <w:rFonts w:asciiTheme="minorHAnsi" w:eastAsia="SimSun" w:hAnsiTheme="minorHAnsi" w:cstheme="minorHAnsi"/>
          <w:iCs/>
          <w:color w:val="000000"/>
          <w:kern w:val="3"/>
          <w:lang w:val="en-GB" w:eastAsia="zh-CN" w:bidi="hi-IN"/>
        </w:rPr>
      </w:pPr>
    </w:p>
    <w:p w:rsidR="00BE723F" w:rsidRPr="003C24F2" w:rsidRDefault="00BE723F" w:rsidP="00BE723F">
      <w:pPr>
        <w:ind w:left="709" w:right="0"/>
        <w:rPr>
          <w:rFonts w:asciiTheme="minorHAnsi" w:eastAsia="SimSun" w:hAnsiTheme="minorHAnsi" w:cstheme="minorHAnsi"/>
          <w:iCs/>
          <w:color w:val="000000"/>
          <w:kern w:val="3"/>
          <w:lang w:val="en-GB" w:eastAsia="zh-CN" w:bidi="hi-IN"/>
        </w:rPr>
      </w:pPr>
      <w:r w:rsidRPr="003C24F2">
        <w:rPr>
          <w:rFonts w:asciiTheme="minorHAnsi" w:eastAsia="SimSun" w:hAnsiTheme="minorHAnsi" w:cstheme="minorHAnsi"/>
          <w:iCs/>
          <w:color w:val="000000"/>
          <w:kern w:val="3"/>
          <w:lang w:val="en-GB" w:eastAsia="zh-CN" w:bidi="hi-IN"/>
        </w:rPr>
        <w:t>Following the initial phase of partner country identification and needs analysis, the SENTINEL project has resulted in the creation of new, innovative models to support SEs and promote their cooperation and networking, with a focus on less-favored areas (eg rural areas).</w:t>
      </w:r>
    </w:p>
    <w:p w:rsidR="00BE723F" w:rsidRPr="003C24F2" w:rsidRDefault="00BE723F" w:rsidP="00BE723F">
      <w:pPr>
        <w:pStyle w:val="Standard"/>
        <w:ind w:left="709"/>
        <w:jc w:val="both"/>
        <w:rPr>
          <w:rFonts w:asciiTheme="minorHAnsi" w:hAnsiTheme="minorHAnsi" w:cstheme="minorHAnsi"/>
          <w:iCs/>
          <w:color w:val="000000"/>
          <w:sz w:val="20"/>
          <w:szCs w:val="20"/>
          <w:lang w:val="en-GB"/>
        </w:rPr>
      </w:pPr>
    </w:p>
    <w:p w:rsidR="00BE723F" w:rsidRPr="003C24F2" w:rsidRDefault="00BE723F" w:rsidP="00BE723F">
      <w:pPr>
        <w:pStyle w:val="Standard"/>
        <w:ind w:left="709"/>
        <w:jc w:val="both"/>
        <w:rPr>
          <w:rFonts w:asciiTheme="minorHAnsi" w:hAnsiTheme="minorHAnsi" w:cstheme="minorHAnsi"/>
          <w:iCs/>
          <w:color w:val="000000"/>
          <w:sz w:val="20"/>
          <w:szCs w:val="20"/>
          <w:lang w:val="en-GB"/>
        </w:rPr>
      </w:pPr>
      <w:r w:rsidRPr="003C24F2">
        <w:rPr>
          <w:rFonts w:asciiTheme="minorHAnsi" w:hAnsiTheme="minorHAnsi" w:cstheme="minorHAnsi"/>
          <w:iCs/>
          <w:color w:val="000000"/>
          <w:sz w:val="20"/>
          <w:szCs w:val="20"/>
          <w:lang w:val="en-GB"/>
        </w:rPr>
        <w:t>Activities included:</w:t>
      </w:r>
    </w:p>
    <w:p w:rsidR="00BE723F" w:rsidRPr="003C24F2" w:rsidRDefault="00BE723F" w:rsidP="00BE723F">
      <w:pPr>
        <w:pStyle w:val="Standard"/>
        <w:ind w:left="709"/>
        <w:jc w:val="both"/>
        <w:rPr>
          <w:rFonts w:asciiTheme="minorHAnsi" w:hAnsiTheme="minorHAnsi" w:cstheme="minorHAnsi"/>
          <w:iCs/>
          <w:color w:val="000000"/>
          <w:sz w:val="20"/>
          <w:szCs w:val="20"/>
          <w:lang w:val="en-GB"/>
        </w:rPr>
      </w:pPr>
    </w:p>
    <w:p w:rsidR="00BE723F" w:rsidRPr="003C24F2" w:rsidRDefault="00BE723F" w:rsidP="00BE723F">
      <w:pPr>
        <w:pStyle w:val="Standard"/>
        <w:numPr>
          <w:ilvl w:val="0"/>
          <w:numId w:val="41"/>
        </w:numPr>
        <w:jc w:val="both"/>
        <w:rPr>
          <w:rFonts w:asciiTheme="minorHAnsi" w:hAnsiTheme="minorHAnsi" w:cstheme="minorHAnsi"/>
          <w:iCs/>
          <w:color w:val="000000"/>
          <w:sz w:val="20"/>
          <w:szCs w:val="20"/>
          <w:lang w:val="en-GB"/>
        </w:rPr>
      </w:pPr>
      <w:r w:rsidRPr="003C24F2">
        <w:rPr>
          <w:rFonts w:asciiTheme="minorHAnsi" w:hAnsiTheme="minorHAnsi" w:cstheme="minorHAnsi"/>
          <w:iCs/>
          <w:color w:val="000000"/>
          <w:sz w:val="20"/>
          <w:szCs w:val="20"/>
          <w:lang w:val="en-GB"/>
        </w:rPr>
        <w:t>“Managed networks” of the SE sector, which in essence represent innovative ecosystems within knowledge sharing, co-working, mutual business and other support, growth and sustainability of the business are promoted. This is also addressed by the Handbook of Managed Networks, which was produced as part of the project's activities.</w:t>
      </w:r>
    </w:p>
    <w:p w:rsidR="00BE723F" w:rsidRPr="003C24F2" w:rsidRDefault="00BE723F" w:rsidP="00BE723F">
      <w:pPr>
        <w:pStyle w:val="Standard"/>
        <w:ind w:left="709"/>
        <w:jc w:val="both"/>
        <w:rPr>
          <w:rFonts w:asciiTheme="minorHAnsi" w:hAnsiTheme="minorHAnsi" w:cstheme="minorHAnsi"/>
          <w:iCs/>
          <w:color w:val="000000"/>
          <w:sz w:val="20"/>
          <w:szCs w:val="20"/>
          <w:lang w:val="en-GB"/>
        </w:rPr>
      </w:pPr>
    </w:p>
    <w:p w:rsidR="00BE723F" w:rsidRPr="003C24F2" w:rsidRDefault="00BE723F" w:rsidP="00BE723F">
      <w:pPr>
        <w:pStyle w:val="Standard"/>
        <w:numPr>
          <w:ilvl w:val="0"/>
          <w:numId w:val="41"/>
        </w:numPr>
        <w:jc w:val="both"/>
        <w:rPr>
          <w:rFonts w:asciiTheme="minorHAnsi" w:hAnsiTheme="minorHAnsi" w:cstheme="minorHAnsi"/>
          <w:iCs/>
          <w:color w:val="000000"/>
          <w:sz w:val="20"/>
          <w:szCs w:val="20"/>
          <w:lang w:val="en-GB"/>
        </w:rPr>
      </w:pPr>
      <w:r w:rsidRPr="003C24F2">
        <w:rPr>
          <w:rFonts w:asciiTheme="minorHAnsi" w:hAnsiTheme="minorHAnsi" w:cstheme="minorHAnsi"/>
          <w:iCs/>
          <w:color w:val="000000"/>
          <w:sz w:val="20"/>
          <w:szCs w:val="20"/>
          <w:lang w:val="en-GB"/>
        </w:rPr>
        <w:lastRenderedPageBreak/>
        <w:t>Establishment of “Social Business Mentoring Services” that will assist SE support organizations, especially in those regions, areas where support is not comprehensive, lack of knowledge and skills or approaches to support are vague.</w:t>
      </w:r>
    </w:p>
    <w:p w:rsidR="00BE723F" w:rsidRPr="003C24F2" w:rsidRDefault="00BE723F" w:rsidP="00BE723F">
      <w:pPr>
        <w:pStyle w:val="Odstavekseznama"/>
        <w:rPr>
          <w:rFonts w:asciiTheme="minorHAnsi" w:hAnsiTheme="minorHAnsi" w:cstheme="minorHAnsi"/>
          <w:iCs/>
          <w:color w:val="000000"/>
          <w:lang w:val="en-GB"/>
        </w:rPr>
      </w:pPr>
    </w:p>
    <w:p w:rsidR="00BE723F" w:rsidRPr="003C24F2" w:rsidRDefault="00BE723F" w:rsidP="00BE723F">
      <w:pPr>
        <w:pStyle w:val="Odstavekseznama"/>
        <w:rPr>
          <w:rFonts w:asciiTheme="minorHAnsi" w:eastAsia="SimSun" w:hAnsiTheme="minorHAnsi" w:cstheme="minorHAnsi"/>
          <w:iCs/>
          <w:color w:val="000000"/>
          <w:kern w:val="3"/>
          <w:lang w:val="en-GB" w:eastAsia="zh-CN" w:bidi="hi-IN"/>
        </w:rPr>
      </w:pPr>
      <w:r w:rsidRPr="003C24F2">
        <w:rPr>
          <w:rFonts w:asciiTheme="minorHAnsi" w:eastAsia="SimSun" w:hAnsiTheme="minorHAnsi" w:cstheme="minorHAnsi"/>
          <w:iCs/>
          <w:color w:val="000000"/>
          <w:kern w:val="3"/>
          <w:lang w:val="en-GB" w:eastAsia="zh-CN" w:bidi="hi-IN"/>
        </w:rPr>
        <w:t>The project carried out pilot activities (tailored to the specific environments of partner countries) of testing innovative support instruments. In Slovenia, we focused on existing social enterprises and the role of mentors, experts and advisers within the supportive environment. Implementation covered a range of activities (motivation, stakeholder identification, identification of specific needs, search for tailor made solutions, empowerment and networking, activity evaluation, etc</w:t>
      </w:r>
    </w:p>
    <w:p w:rsidR="00BE723F" w:rsidRPr="003C24F2" w:rsidRDefault="00BE723F" w:rsidP="00BE723F">
      <w:pPr>
        <w:pStyle w:val="Standard"/>
        <w:ind w:left="709"/>
        <w:jc w:val="both"/>
        <w:rPr>
          <w:rFonts w:asciiTheme="minorHAnsi" w:hAnsiTheme="minorHAnsi" w:cstheme="minorHAnsi"/>
          <w:iCs/>
          <w:color w:val="000000"/>
          <w:sz w:val="20"/>
          <w:szCs w:val="20"/>
          <w:lang w:val="en-GB"/>
        </w:rPr>
      </w:pPr>
    </w:p>
    <w:p w:rsidR="00BE723F" w:rsidRPr="003C24F2" w:rsidRDefault="00BE723F" w:rsidP="00BE723F">
      <w:pPr>
        <w:pStyle w:val="Standard"/>
        <w:ind w:left="709"/>
        <w:jc w:val="both"/>
        <w:rPr>
          <w:rFonts w:asciiTheme="minorHAnsi" w:hAnsiTheme="minorHAnsi"/>
          <w:sz w:val="20"/>
          <w:szCs w:val="20"/>
          <w:lang w:val="en-GB"/>
        </w:rPr>
      </w:pPr>
      <w:r w:rsidRPr="003C24F2">
        <w:rPr>
          <w:rFonts w:asciiTheme="minorHAnsi" w:hAnsiTheme="minorHAnsi" w:cstheme="minorHAnsi"/>
          <w:iCs/>
          <w:color w:val="000000"/>
          <w:sz w:val="20"/>
          <w:szCs w:val="20"/>
          <w:lang w:val="en-GB"/>
        </w:rPr>
        <w:t>The findings for Slovenia do not deviate much from the general findings in other partner countries of the project. Meaningfully summarized</w:t>
      </w:r>
      <w:r w:rsidRPr="003C24F2">
        <w:rPr>
          <w:rFonts w:asciiTheme="minorHAnsi" w:hAnsiTheme="minorHAnsi"/>
          <w:sz w:val="20"/>
          <w:szCs w:val="20"/>
          <w:lang w:val="en-GB"/>
        </w:rPr>
        <w:t>:</w:t>
      </w:r>
    </w:p>
    <w:p w:rsidR="00BE723F" w:rsidRPr="003C24F2" w:rsidRDefault="00BE723F" w:rsidP="00BE723F">
      <w:pPr>
        <w:pStyle w:val="Odstavekseznama"/>
        <w:ind w:left="2520" w:right="0"/>
        <w:rPr>
          <w:rFonts w:asciiTheme="minorHAnsi" w:hAnsiTheme="minorHAnsi"/>
          <w:lang w:val="en-GB"/>
        </w:rPr>
      </w:pPr>
    </w:p>
    <w:p w:rsidR="00BE723F" w:rsidRPr="003C24F2" w:rsidRDefault="00BE723F" w:rsidP="00BE723F">
      <w:pPr>
        <w:pStyle w:val="Odstavekseznama"/>
        <w:numPr>
          <w:ilvl w:val="3"/>
          <w:numId w:val="38"/>
        </w:numPr>
        <w:ind w:left="1560" w:right="0" w:hanging="284"/>
        <w:rPr>
          <w:rFonts w:asciiTheme="minorHAnsi" w:hAnsiTheme="minorHAnsi"/>
          <w:lang w:val="en-GB"/>
        </w:rPr>
      </w:pPr>
      <w:r w:rsidRPr="003C24F2">
        <w:rPr>
          <w:rFonts w:asciiTheme="minorHAnsi" w:hAnsiTheme="minorHAnsi"/>
          <w:lang w:val="en-GB"/>
        </w:rPr>
        <w:t xml:space="preserve">poor visibility or the "visibility" of the meaning and role of SE </w:t>
      </w:r>
    </w:p>
    <w:p w:rsidR="00BE723F" w:rsidRPr="003C24F2" w:rsidRDefault="00BE723F" w:rsidP="00BE723F">
      <w:pPr>
        <w:pStyle w:val="Odstavekseznama"/>
        <w:ind w:left="1560" w:right="0" w:hanging="284"/>
        <w:rPr>
          <w:rFonts w:asciiTheme="minorHAnsi" w:hAnsiTheme="minorHAnsi"/>
          <w:lang w:val="en-GB"/>
        </w:rPr>
      </w:pPr>
    </w:p>
    <w:p w:rsidR="00BE723F" w:rsidRPr="003C24F2" w:rsidRDefault="00BE723F" w:rsidP="00BE723F">
      <w:pPr>
        <w:pStyle w:val="Odstavekseznama"/>
        <w:numPr>
          <w:ilvl w:val="3"/>
          <w:numId w:val="38"/>
        </w:numPr>
        <w:ind w:left="1560" w:right="0" w:hanging="284"/>
        <w:rPr>
          <w:rFonts w:asciiTheme="minorHAnsi" w:hAnsiTheme="minorHAnsi"/>
          <w:lang w:val="en-GB"/>
        </w:rPr>
      </w:pPr>
      <w:r w:rsidRPr="003C24F2">
        <w:rPr>
          <w:rFonts w:asciiTheme="minorHAnsi" w:hAnsiTheme="minorHAnsi"/>
          <w:lang w:val="en-GB"/>
        </w:rPr>
        <w:t xml:space="preserve">a legal and other non-incentive environment for operation, especially the unrecognizability of the need for segmentation by geographical area of </w:t>
      </w:r>
      <w:r w:rsidRPr="003C24F2">
        <w:rPr>
          <w:rFonts w:ascii="Arial" w:hAnsi="Arial" w:cs="Arial"/>
          <w:lang w:val="en-GB"/>
        </w:rPr>
        <w:t>​​</w:t>
      </w:r>
      <w:r w:rsidRPr="003C24F2">
        <w:rPr>
          <w:rFonts w:asciiTheme="minorHAnsi" w:hAnsiTheme="minorHAnsi"/>
          <w:lang w:val="en-GB"/>
        </w:rPr>
        <w:t>operation of the SE (eg rural)</w:t>
      </w:r>
      <w:r w:rsidRPr="003C24F2">
        <w:rPr>
          <w:rStyle w:val="gt-text"/>
          <w:lang w:val="en-GB"/>
        </w:rPr>
        <w:t xml:space="preserve"> </w:t>
      </w:r>
    </w:p>
    <w:p w:rsidR="00BE723F" w:rsidRPr="003C24F2" w:rsidRDefault="00BE723F" w:rsidP="00BE723F">
      <w:pPr>
        <w:pStyle w:val="Odstavekseznama"/>
        <w:ind w:left="1560" w:hanging="284"/>
        <w:rPr>
          <w:rFonts w:asciiTheme="minorHAnsi" w:hAnsiTheme="minorHAnsi"/>
          <w:lang w:val="en-GB"/>
        </w:rPr>
      </w:pPr>
    </w:p>
    <w:p w:rsidR="00BE723F" w:rsidRPr="003C24F2" w:rsidRDefault="00BE723F" w:rsidP="00BE723F">
      <w:pPr>
        <w:pStyle w:val="Odstavekseznama"/>
        <w:numPr>
          <w:ilvl w:val="3"/>
          <w:numId w:val="38"/>
        </w:numPr>
        <w:ind w:left="1560" w:right="0" w:hanging="284"/>
        <w:rPr>
          <w:rFonts w:asciiTheme="minorHAnsi" w:hAnsiTheme="minorHAnsi"/>
          <w:lang w:val="en-GB"/>
        </w:rPr>
      </w:pPr>
      <w:r w:rsidRPr="003C24F2">
        <w:rPr>
          <w:rFonts w:asciiTheme="minorHAnsi" w:hAnsiTheme="minorHAnsi"/>
          <w:lang w:val="en-GB"/>
        </w:rPr>
        <w:t>overload or weak staffing capacity</w:t>
      </w:r>
      <w:r w:rsidRPr="003C24F2">
        <w:rPr>
          <w:rStyle w:val="gt-text"/>
          <w:lang w:val="en-GB"/>
        </w:rPr>
        <w:t xml:space="preserve"> </w:t>
      </w:r>
    </w:p>
    <w:p w:rsidR="00BE723F" w:rsidRPr="003C24F2" w:rsidRDefault="00BE723F" w:rsidP="00BE723F">
      <w:pPr>
        <w:pStyle w:val="Odstavekseznama"/>
        <w:ind w:left="1560" w:hanging="284"/>
        <w:rPr>
          <w:rFonts w:asciiTheme="minorHAnsi" w:hAnsiTheme="minorHAnsi"/>
          <w:lang w:val="en-GB"/>
        </w:rPr>
      </w:pPr>
    </w:p>
    <w:p w:rsidR="00BE723F" w:rsidRPr="003C24F2" w:rsidRDefault="00BE723F" w:rsidP="00BE723F">
      <w:pPr>
        <w:pStyle w:val="Odstavekseznama"/>
        <w:numPr>
          <w:ilvl w:val="3"/>
          <w:numId w:val="38"/>
        </w:numPr>
        <w:ind w:left="1560" w:right="0" w:hanging="284"/>
        <w:rPr>
          <w:rFonts w:asciiTheme="minorHAnsi" w:hAnsiTheme="minorHAnsi"/>
          <w:lang w:val="en-GB"/>
        </w:rPr>
      </w:pPr>
      <w:r w:rsidRPr="003C24F2">
        <w:rPr>
          <w:rFonts w:asciiTheme="minorHAnsi" w:hAnsiTheme="minorHAnsi"/>
          <w:lang w:val="en-GB"/>
        </w:rPr>
        <w:t xml:space="preserve">Weak capacities in the area of </w:t>
      </w:r>
      <w:r w:rsidRPr="003C24F2">
        <w:rPr>
          <w:rFonts w:ascii="Arial" w:hAnsi="Arial" w:cs="Arial"/>
          <w:lang w:val="en-GB"/>
        </w:rPr>
        <w:t>​​</w:t>
      </w:r>
      <w:r w:rsidRPr="003C24F2">
        <w:rPr>
          <w:rFonts w:asciiTheme="minorHAnsi" w:hAnsiTheme="minorHAnsi"/>
          <w:lang w:val="en-GB"/>
        </w:rPr>
        <w:t>access to financing, non-plurality of funding sources (dependence on public grants)</w:t>
      </w:r>
    </w:p>
    <w:p w:rsidR="00BE723F" w:rsidRPr="003C24F2" w:rsidRDefault="00BE723F" w:rsidP="00BE723F">
      <w:pPr>
        <w:pStyle w:val="Odstavekseznama"/>
        <w:ind w:left="1560" w:hanging="284"/>
        <w:rPr>
          <w:rFonts w:asciiTheme="minorHAnsi" w:hAnsiTheme="minorHAnsi"/>
          <w:lang w:val="en-GB"/>
        </w:rPr>
      </w:pPr>
    </w:p>
    <w:p w:rsidR="00BE723F" w:rsidRPr="003C24F2" w:rsidRDefault="00BE723F" w:rsidP="00BE723F">
      <w:pPr>
        <w:pStyle w:val="Odstavekseznama"/>
        <w:numPr>
          <w:ilvl w:val="3"/>
          <w:numId w:val="38"/>
        </w:numPr>
        <w:ind w:left="1560" w:right="0" w:hanging="284"/>
        <w:rPr>
          <w:rFonts w:asciiTheme="minorHAnsi" w:hAnsiTheme="minorHAnsi"/>
          <w:lang w:val="en-GB"/>
        </w:rPr>
      </w:pPr>
      <w:r w:rsidRPr="003C24F2">
        <w:rPr>
          <w:rFonts w:asciiTheme="minorHAnsi" w:hAnsiTheme="minorHAnsi"/>
          <w:lang w:val="en-GB"/>
        </w:rPr>
        <w:t xml:space="preserve">lack of knowledge, especially for entering the market for the sale of goods and services, the creation of sustainable business models, etc. </w:t>
      </w:r>
    </w:p>
    <w:p w:rsidR="005A1C94" w:rsidRDefault="005A1C94" w:rsidP="005A1C94">
      <w:pPr>
        <w:pStyle w:val="CE-StandardText"/>
      </w:pPr>
    </w:p>
    <w:p w:rsidR="005A1C94" w:rsidRDefault="005A1C94" w:rsidP="004C693F">
      <w:pPr>
        <w:pStyle w:val="CE-StandardText"/>
      </w:pPr>
    </w:p>
    <w:p w:rsidR="004C693F" w:rsidRDefault="004C693F" w:rsidP="005A1C94">
      <w:pPr>
        <w:pStyle w:val="CE-HeadlineSubtitle"/>
        <w:jc w:val="both"/>
      </w:pPr>
      <w:r>
        <w:t>Summary of policy recommendations formulated</w:t>
      </w:r>
    </w:p>
    <w:p w:rsidR="00BE723F" w:rsidRDefault="00BE723F" w:rsidP="00421021">
      <w:pPr>
        <w:widowControl w:val="0"/>
        <w:spacing w:before="0" w:line="240" w:lineRule="auto"/>
        <w:ind w:left="709" w:right="0"/>
        <w:rPr>
          <w:rFonts w:asciiTheme="majorHAnsi" w:hAnsiTheme="majorHAnsi"/>
          <w:lang w:val="en-GB"/>
        </w:rPr>
      </w:pPr>
    </w:p>
    <w:p w:rsidR="00421021" w:rsidRPr="003C24F2" w:rsidRDefault="00421021" w:rsidP="00421021">
      <w:pPr>
        <w:widowControl w:val="0"/>
        <w:spacing w:before="0" w:line="240" w:lineRule="auto"/>
        <w:ind w:left="709" w:right="0"/>
        <w:rPr>
          <w:rFonts w:asciiTheme="majorHAnsi" w:hAnsiTheme="majorHAnsi"/>
          <w:lang w:val="en-GB"/>
        </w:rPr>
      </w:pPr>
      <w:r w:rsidRPr="003C24F2">
        <w:rPr>
          <w:rFonts w:asciiTheme="majorHAnsi" w:hAnsiTheme="majorHAnsi"/>
          <w:lang w:val="en-GB"/>
        </w:rPr>
        <w:t>Based on the findings of the SENTINEL project and taking into account other activities related to the SE sector in Slovenia, we have formulated 5 key recommendations:</w:t>
      </w:r>
    </w:p>
    <w:p w:rsidR="00421021" w:rsidRPr="003C24F2" w:rsidRDefault="00421021" w:rsidP="00421021">
      <w:pPr>
        <w:widowControl w:val="0"/>
        <w:spacing w:before="0" w:line="240" w:lineRule="auto"/>
        <w:ind w:left="0" w:right="0"/>
        <w:rPr>
          <w:rFonts w:asciiTheme="majorHAnsi" w:hAnsiTheme="majorHAnsi"/>
          <w:lang w:val="en-GB"/>
        </w:rPr>
      </w:pPr>
    </w:p>
    <w:p w:rsidR="00421021" w:rsidRPr="003C24F2" w:rsidRDefault="00421021" w:rsidP="00421021">
      <w:pPr>
        <w:pStyle w:val="Odstavekseznama"/>
        <w:widowControl w:val="0"/>
        <w:numPr>
          <w:ilvl w:val="0"/>
          <w:numId w:val="40"/>
        </w:numPr>
        <w:spacing w:before="0" w:line="240" w:lineRule="auto"/>
        <w:ind w:right="0"/>
        <w:rPr>
          <w:rStyle w:val="gt-text"/>
          <w:rFonts w:asciiTheme="majorHAnsi" w:hAnsiTheme="majorHAnsi"/>
          <w:lang w:val="en-GB"/>
        </w:rPr>
      </w:pPr>
      <w:r w:rsidRPr="003C24F2">
        <w:rPr>
          <w:rFonts w:asciiTheme="majorHAnsi" w:hAnsiTheme="majorHAnsi"/>
          <w:lang w:val="en-GB"/>
        </w:rPr>
        <w:t>Clear terminological delimitation and consistent legislative definition of key SE related concepts (social economy, social enterprise, non-governmental organization, no-profit, non-profit, social impact, etc.) in a way that promotes the development of the SE sector in Slovenia and is consistent with understanding of the SE in the EU area</w:t>
      </w:r>
      <w:r w:rsidRPr="003C24F2">
        <w:rPr>
          <w:rStyle w:val="gt-text"/>
          <w:lang w:val="en-GB"/>
        </w:rPr>
        <w:t>.</w:t>
      </w:r>
    </w:p>
    <w:p w:rsidR="00421021" w:rsidRPr="003C24F2" w:rsidRDefault="00421021" w:rsidP="00421021">
      <w:pPr>
        <w:pStyle w:val="Odstavekseznama"/>
        <w:widowControl w:val="0"/>
        <w:spacing w:before="0" w:line="240" w:lineRule="auto"/>
        <w:ind w:left="1080" w:right="0"/>
        <w:rPr>
          <w:rFonts w:asciiTheme="majorHAnsi" w:hAnsiTheme="majorHAnsi"/>
          <w:lang w:val="en-GB"/>
        </w:rPr>
      </w:pPr>
    </w:p>
    <w:p w:rsidR="00421021" w:rsidRPr="003C24F2" w:rsidRDefault="00421021" w:rsidP="00421021">
      <w:pPr>
        <w:pStyle w:val="Odstavekseznama"/>
        <w:widowControl w:val="0"/>
        <w:numPr>
          <w:ilvl w:val="0"/>
          <w:numId w:val="40"/>
        </w:numPr>
        <w:spacing w:before="0" w:line="240" w:lineRule="auto"/>
        <w:ind w:right="0"/>
        <w:rPr>
          <w:rFonts w:asciiTheme="majorHAnsi" w:hAnsiTheme="majorHAnsi"/>
          <w:lang w:val="en-GB"/>
        </w:rPr>
      </w:pPr>
      <w:r w:rsidRPr="003C24F2">
        <w:rPr>
          <w:rFonts w:asciiTheme="majorHAnsi" w:hAnsiTheme="majorHAnsi"/>
          <w:lang w:val="en-GB"/>
        </w:rPr>
        <w:t>Consistent implementation of the already adopted legislation in the field of SE and its priority integration in all national policies, regulations and measures, including its integration into key documents on promoting entrepreneurship and local and regional development</w:t>
      </w:r>
      <w:r w:rsidRPr="003C24F2">
        <w:rPr>
          <w:rStyle w:val="gt-text"/>
          <w:lang w:val="en-GB"/>
        </w:rPr>
        <w:t>.</w:t>
      </w:r>
    </w:p>
    <w:p w:rsidR="00421021" w:rsidRPr="003C24F2" w:rsidRDefault="00421021" w:rsidP="00421021">
      <w:pPr>
        <w:pStyle w:val="Odstavekseznama"/>
        <w:ind w:right="0"/>
        <w:rPr>
          <w:rFonts w:asciiTheme="majorHAnsi" w:hAnsiTheme="majorHAnsi"/>
          <w:lang w:val="en-GB"/>
        </w:rPr>
      </w:pPr>
    </w:p>
    <w:p w:rsidR="00421021" w:rsidRPr="003C24F2" w:rsidRDefault="00421021" w:rsidP="00421021">
      <w:pPr>
        <w:pStyle w:val="Odstavekseznama"/>
        <w:widowControl w:val="0"/>
        <w:numPr>
          <w:ilvl w:val="0"/>
          <w:numId w:val="40"/>
        </w:numPr>
        <w:spacing w:before="0" w:line="240" w:lineRule="auto"/>
        <w:ind w:right="0"/>
        <w:rPr>
          <w:rFonts w:asciiTheme="majorHAnsi" w:hAnsiTheme="majorHAnsi"/>
          <w:lang w:val="en-GB"/>
        </w:rPr>
      </w:pPr>
      <w:r w:rsidRPr="003C24F2">
        <w:rPr>
          <w:rFonts w:asciiTheme="majorHAnsi" w:hAnsiTheme="majorHAnsi" w:cs="Arial"/>
          <w:color w:val="000000"/>
          <w:sz w:val="22"/>
          <w:szCs w:val="22"/>
          <w:lang w:val="en-GB"/>
        </w:rPr>
        <w:t>Development of a supportive environment based on knowledge, experience and expertise, which is achieved by setting standards for the SE supportive environment, systemic financing, its placement in the existing support schemes for entrepreneurship and support measures for its integration into the EU or the European framework.</w:t>
      </w:r>
    </w:p>
    <w:p w:rsidR="00421021" w:rsidRPr="003C24F2" w:rsidRDefault="00421021" w:rsidP="00421021">
      <w:pPr>
        <w:pStyle w:val="Odstavekseznama"/>
        <w:ind w:right="0"/>
        <w:rPr>
          <w:rFonts w:asciiTheme="majorHAnsi" w:hAnsiTheme="majorHAnsi"/>
          <w:lang w:val="en-GB"/>
        </w:rPr>
      </w:pPr>
    </w:p>
    <w:p w:rsidR="00421021" w:rsidRPr="003C24F2" w:rsidRDefault="00421021" w:rsidP="00421021">
      <w:pPr>
        <w:pStyle w:val="Odstavekseznama"/>
        <w:widowControl w:val="0"/>
        <w:numPr>
          <w:ilvl w:val="0"/>
          <w:numId w:val="40"/>
        </w:numPr>
        <w:spacing w:before="0" w:line="240" w:lineRule="auto"/>
        <w:ind w:right="0"/>
        <w:rPr>
          <w:rFonts w:asciiTheme="majorHAnsi" w:hAnsiTheme="majorHAnsi"/>
          <w:lang w:val="en-GB"/>
        </w:rPr>
      </w:pPr>
      <w:r w:rsidRPr="003C24F2">
        <w:rPr>
          <w:rFonts w:asciiTheme="majorHAnsi" w:hAnsiTheme="majorHAnsi"/>
          <w:lang w:val="en-GB"/>
        </w:rPr>
        <w:t>Developing an integrated market for public and private financial instruments and empowering intermediaries to provide effective and accessible financial support to SEs across all life cycles.</w:t>
      </w:r>
    </w:p>
    <w:p w:rsidR="00421021" w:rsidRPr="003C24F2" w:rsidRDefault="00421021" w:rsidP="00421021">
      <w:pPr>
        <w:pStyle w:val="Odstavekseznama"/>
        <w:ind w:right="0"/>
        <w:rPr>
          <w:rFonts w:asciiTheme="majorHAnsi" w:hAnsiTheme="majorHAnsi"/>
          <w:lang w:val="en-GB"/>
        </w:rPr>
      </w:pPr>
    </w:p>
    <w:p w:rsidR="00421021" w:rsidRPr="003C24F2" w:rsidRDefault="00421021" w:rsidP="00421021">
      <w:pPr>
        <w:pStyle w:val="Odstavekseznama"/>
        <w:widowControl w:val="0"/>
        <w:numPr>
          <w:ilvl w:val="0"/>
          <w:numId w:val="40"/>
        </w:numPr>
        <w:spacing w:before="0" w:line="240" w:lineRule="auto"/>
        <w:ind w:right="0"/>
        <w:rPr>
          <w:rFonts w:asciiTheme="majorHAnsi" w:hAnsiTheme="majorHAnsi"/>
          <w:lang w:val="en-GB"/>
        </w:rPr>
      </w:pPr>
      <w:r w:rsidRPr="003C24F2">
        <w:rPr>
          <w:rFonts w:asciiTheme="majorHAnsi" w:hAnsiTheme="majorHAnsi"/>
          <w:lang w:val="en-GB"/>
        </w:rPr>
        <w:t>Supporting public awareness (stakeholders, consumers, etc.) of the importance and role of the SE.</w:t>
      </w:r>
    </w:p>
    <w:p w:rsidR="00421021" w:rsidRPr="00AB123F" w:rsidRDefault="00421021" w:rsidP="00421021">
      <w:pPr>
        <w:pStyle w:val="Odstavekseznama"/>
        <w:ind w:right="0"/>
        <w:rPr>
          <w:rFonts w:asciiTheme="majorHAnsi" w:hAnsiTheme="majorHAnsi"/>
          <w:sz w:val="32"/>
          <w:szCs w:val="32"/>
          <w:lang w:val="en-GB"/>
        </w:rPr>
      </w:pPr>
    </w:p>
    <w:p w:rsidR="00421021" w:rsidRPr="0054755E" w:rsidRDefault="00421021" w:rsidP="00421021">
      <w:pPr>
        <w:pStyle w:val="Odstavekseznama"/>
        <w:widowControl w:val="0"/>
        <w:spacing w:before="0" w:line="240" w:lineRule="auto"/>
        <w:ind w:left="1080" w:right="0"/>
        <w:rPr>
          <w:rFonts w:asciiTheme="majorHAnsi" w:hAnsiTheme="majorHAnsi"/>
          <w:lang w:val="en-GB"/>
        </w:rPr>
      </w:pPr>
      <w:r w:rsidRPr="003C24F2">
        <w:rPr>
          <w:rFonts w:asciiTheme="majorHAnsi" w:hAnsiTheme="majorHAnsi"/>
          <w:lang w:val="en-GB"/>
        </w:rPr>
        <w:t>The above five recommendations should be linked to the period of operation of the current Government of the Republic of Slovenia and are practicable in the period 2020/2021. Their implementation is possible as soon as the COVID-19 crisis situation has ceased. At the same time, it shows the activities to be tied to the role of the Republic of Slovenia in 2020 and 2021 as preparations for the EU Council Presidency are underway (second half of 2021).</w:t>
      </w:r>
    </w:p>
    <w:p w:rsidR="00421021" w:rsidRPr="00844289" w:rsidRDefault="00421021" w:rsidP="00421021">
      <w:pPr>
        <w:pStyle w:val="Odstavekseznama"/>
        <w:widowControl w:val="0"/>
        <w:spacing w:before="0" w:line="240" w:lineRule="auto"/>
        <w:ind w:left="1080" w:right="0"/>
        <w:rPr>
          <w:rFonts w:asciiTheme="majorHAnsi" w:hAnsiTheme="majorHAnsi" w:cs="Arial"/>
          <w:color w:val="000000"/>
          <w:lang w:val="en-GB"/>
        </w:rPr>
      </w:pPr>
    </w:p>
    <w:p w:rsidR="00421021" w:rsidRPr="00F35A79" w:rsidRDefault="00421021" w:rsidP="00BE723F">
      <w:pPr>
        <w:pStyle w:val="CE-Headline1"/>
        <w:numPr>
          <w:ilvl w:val="0"/>
          <w:numId w:val="0"/>
        </w:numPr>
        <w:ind w:left="426"/>
        <w:rPr>
          <w:rFonts w:asciiTheme="majorHAnsi" w:hAnsiTheme="majorHAnsi"/>
          <w:b w:val="0"/>
          <w:bCs w:val="0"/>
          <w:iCs w:val="0"/>
          <w:noProof w:val="0"/>
          <w:color w:val="auto"/>
          <w:spacing w:val="0"/>
          <w:sz w:val="20"/>
          <w:szCs w:val="20"/>
          <w:lang w:eastAsia="en-US"/>
        </w:rPr>
      </w:pPr>
      <w:r w:rsidRPr="00F35A79">
        <w:rPr>
          <w:rFonts w:asciiTheme="majorHAnsi" w:hAnsiTheme="majorHAnsi"/>
          <w:b w:val="0"/>
          <w:bCs w:val="0"/>
          <w:iCs w:val="0"/>
          <w:noProof w:val="0"/>
          <w:color w:val="auto"/>
          <w:spacing w:val="0"/>
          <w:sz w:val="20"/>
          <w:szCs w:val="20"/>
          <w:lang w:eastAsia="en-US"/>
        </w:rPr>
        <w:t>The feasibility of the above depends mainly on the establishment of a regular structured discussion on the development of the SE in Slovenia, both within formal structures (eg social entrepreneurship council) and in the sector itself (eg co-ordination of SE project partners and programs, expert council at ZSES (Association Social Economy Slovenia), etc.).</w:t>
      </w:r>
    </w:p>
    <w:p w:rsidR="00421021" w:rsidRDefault="00421021" w:rsidP="007A12E5">
      <w:pPr>
        <w:pStyle w:val="CE-HeadlineTitle"/>
        <w:rPr>
          <w:b/>
          <w:bCs/>
          <w:iCs/>
        </w:rPr>
      </w:pPr>
    </w:p>
    <w:p w:rsidR="004D1203" w:rsidRDefault="004D1203" w:rsidP="007A12E5">
      <w:pPr>
        <w:pStyle w:val="CE-HeadlineTitle"/>
      </w:pPr>
    </w:p>
    <w:sectPr w:rsidR="004D1203"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A9E" w:rsidRDefault="00125A9E" w:rsidP="00877C37">
      <w:r>
        <w:separator/>
      </w:r>
    </w:p>
    <w:p w:rsidR="00125A9E" w:rsidRDefault="00125A9E"/>
    <w:p w:rsidR="00125A9E" w:rsidRDefault="00125A9E"/>
    <w:p w:rsidR="00125A9E" w:rsidRDefault="00125A9E"/>
  </w:endnote>
  <w:endnote w:type="continuationSeparator" w:id="0">
    <w:p w:rsidR="00125A9E" w:rsidRDefault="00125A9E" w:rsidP="00877C37">
      <w:r>
        <w:continuationSeparator/>
      </w:r>
    </w:p>
    <w:p w:rsidR="00125A9E" w:rsidRDefault="00125A9E"/>
    <w:p w:rsidR="00125A9E" w:rsidRDefault="00125A9E"/>
    <w:p w:rsidR="00125A9E" w:rsidRDefault="00125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A1C94" w:rsidRPr="005A1C94">
      <w:rPr>
        <w:b w:val="0"/>
        <w:noProof/>
        <w:sz w:val="17"/>
        <w:szCs w:val="17"/>
        <w:lang w:val="de-DE"/>
      </w:rPr>
      <w:t>1</w:t>
    </w:r>
    <w:r w:rsidRPr="00E31FF3">
      <w:rPr>
        <w:b w:val="0"/>
        <w:sz w:val="17"/>
        <w:szCs w:val="17"/>
      </w:rPr>
      <w:fldChar w:fldCharType="end"/>
    </w:r>
  </w:p>
  <w:p w:rsidR="00A61094" w:rsidRDefault="00A61094" w:rsidP="00DA073A">
    <w:pPr>
      <w:pStyle w:val="Nog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106" w:rsidRDefault="003941E0">
    <w:pPr>
      <w:pStyle w:val="Noga"/>
    </w:pPr>
    <w:r>
      <w:rPr>
        <w:lang w:val="en-GB" w:eastAsia="en-GB"/>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2491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A9E" w:rsidRPr="007F69D3" w:rsidRDefault="00125A9E" w:rsidP="007F69D3">
      <w:pPr>
        <w:spacing w:before="0" w:line="240" w:lineRule="auto"/>
        <w:ind w:left="0" w:right="340"/>
        <w:jc w:val="left"/>
      </w:pPr>
      <w:r>
        <w:separator/>
      </w:r>
    </w:p>
  </w:footnote>
  <w:footnote w:type="continuationSeparator" w:id="0">
    <w:p w:rsidR="00125A9E" w:rsidRDefault="00125A9E" w:rsidP="00924079">
      <w:pPr>
        <w:ind w:left="0"/>
      </w:pPr>
      <w:r>
        <w:continuationSeparator/>
      </w:r>
    </w:p>
    <w:p w:rsidR="00125A9E" w:rsidRDefault="00125A9E" w:rsidP="00C12DFF">
      <w:pPr>
        <w:ind w:left="0"/>
      </w:pPr>
    </w:p>
  </w:footnote>
  <w:footnote w:type="continuationNotice" w:id="1">
    <w:p w:rsidR="00125A9E" w:rsidRDefault="00125A9E"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Pr="00C8321B" w:rsidRDefault="00A61094" w:rsidP="00C8321B">
    <w:pPr>
      <w:pStyle w:val="Glava"/>
      <w:jc w:val="center"/>
    </w:pPr>
    <w:r>
      <w:rPr>
        <w:noProof/>
        <w:lang w:val="en-GB" w:eastAsia="en-GB"/>
      </w:rPr>
      <w:drawing>
        <wp:anchor distT="0" distB="0" distL="114300" distR="114300" simplePos="0" relativeHeight="251660288" behindDoc="1" locked="0" layoutInCell="1" allowOverlap="1" wp14:anchorId="6D1EC3C6" wp14:editId="50497BA3">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292333">
    <w:r w:rsidRPr="00290F2D">
      <w:rPr>
        <w:noProof/>
        <w:lang w:val="en-GB" w:eastAsia="en-GB"/>
      </w:rPr>
      <w:drawing>
        <wp:anchor distT="0" distB="0" distL="114300" distR="114300" simplePos="0" relativeHeight="251667456" behindDoc="0" locked="0" layoutInCell="1" allowOverlap="1" wp14:anchorId="2E190E08" wp14:editId="123C1F60">
          <wp:simplePos x="0" y="0"/>
          <wp:positionH relativeFrom="column">
            <wp:posOffset>-95885</wp:posOffset>
          </wp:positionH>
          <wp:positionV relativeFrom="paragraph">
            <wp:posOffset>125095</wp:posOffset>
          </wp:positionV>
          <wp:extent cx="1642745" cy="708025"/>
          <wp:effectExtent l="0" t="0" r="0" b="0"/>
          <wp:wrapSquare wrapText="bothSides"/>
          <wp:docPr id="2" name="Kép 2"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274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12D">
      <w:rPr>
        <w:noProof/>
        <w:lang w:val="en-GB" w:eastAsia="en-GB"/>
      </w:rPr>
      <w:drawing>
        <wp:anchor distT="0" distB="0" distL="114300" distR="114300" simplePos="0" relativeHeight="251664384" behindDoc="0" locked="0" layoutInCell="1" allowOverlap="1" wp14:anchorId="278C70E1" wp14:editId="51D33AC2">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Default="00A61094" w:rsidP="00D41EE5">
    <w:pPr>
      <w:pStyle w:val="Glava"/>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4531241"/>
    <w:multiLevelType w:val="hybridMultilevel"/>
    <w:tmpl w:val="CA744E7E"/>
    <w:lvl w:ilvl="0" w:tplc="C428CB78">
      <w:start w:val="1"/>
      <w:numFmt w:val="upperLetter"/>
      <w:lvlText w:val="%1."/>
      <w:lvlJc w:val="left"/>
      <w:pPr>
        <w:ind w:left="1800" w:hanging="360"/>
      </w:pPr>
      <w:rPr>
        <w:rFonts w:asciiTheme="majorHAnsi" w:eastAsia="Times New Roman" w:hAnsiTheme="majorHAnsi" w:cs="Times New Roman"/>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0FEA2E59"/>
    <w:multiLevelType w:val="hybridMultilevel"/>
    <w:tmpl w:val="3E50D0F4"/>
    <w:lvl w:ilvl="0" w:tplc="9F92101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6E69702B"/>
    <w:multiLevelType w:val="hybridMultilevel"/>
    <w:tmpl w:val="BE12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4" w15:restartNumberingAfterBreak="0">
    <w:nsid w:val="76903D77"/>
    <w:multiLevelType w:val="hybridMultilevel"/>
    <w:tmpl w:val="F360361A"/>
    <w:lvl w:ilvl="0" w:tplc="21400D2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7" w15:restartNumberingAfterBreak="0">
    <w:nsid w:val="7B786FE8"/>
    <w:multiLevelType w:val="multilevel"/>
    <w:tmpl w:val="1FE28E64"/>
    <w:numStyleLink w:val="CentralEuropeStandard"/>
  </w:abstractNum>
  <w:abstractNum w:abstractNumId="3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1"/>
  </w:num>
  <w:num w:numId="2">
    <w:abstractNumId w:val="33"/>
  </w:num>
  <w:num w:numId="3">
    <w:abstractNumId w:val="3"/>
  </w:num>
  <w:num w:numId="4">
    <w:abstractNumId w:val="36"/>
  </w:num>
  <w:num w:numId="5">
    <w:abstractNumId w:val="27"/>
  </w:num>
  <w:num w:numId="6">
    <w:abstractNumId w:val="16"/>
  </w:num>
  <w:num w:numId="7">
    <w:abstractNumId w:val="20"/>
  </w:num>
  <w:num w:numId="8">
    <w:abstractNumId w:val="24"/>
  </w:num>
  <w:num w:numId="9">
    <w:abstractNumId w:val="4"/>
  </w:num>
  <w:num w:numId="10">
    <w:abstractNumId w:val="28"/>
  </w:num>
  <w:num w:numId="11">
    <w:abstractNumId w:val="22"/>
  </w:num>
  <w:num w:numId="12">
    <w:abstractNumId w:val="12"/>
  </w:num>
  <w:num w:numId="13">
    <w:abstractNumId w:val="15"/>
  </w:num>
  <w:num w:numId="14">
    <w:abstractNumId w:val="2"/>
  </w:num>
  <w:num w:numId="15">
    <w:abstractNumId w:val="18"/>
  </w:num>
  <w:num w:numId="16">
    <w:abstractNumId w:val="11"/>
  </w:num>
  <w:num w:numId="17">
    <w:abstractNumId w:val="14"/>
  </w:num>
  <w:num w:numId="18">
    <w:abstractNumId w:val="35"/>
  </w:num>
  <w:num w:numId="19">
    <w:abstractNumId w:val="5"/>
  </w:num>
  <w:num w:numId="20">
    <w:abstractNumId w:val="23"/>
  </w:num>
  <w:num w:numId="21">
    <w:abstractNumId w:val="7"/>
  </w:num>
  <w:num w:numId="22">
    <w:abstractNumId w:val="38"/>
  </w:num>
  <w:num w:numId="23">
    <w:abstractNumId w:val="29"/>
  </w:num>
  <w:num w:numId="24">
    <w:abstractNumId w:val="0"/>
  </w:num>
  <w:num w:numId="25">
    <w:abstractNumId w:val="17"/>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1"/>
  </w:num>
  <w:num w:numId="30">
    <w:abstractNumId w:val="32"/>
  </w:num>
  <w:num w:numId="31">
    <w:abstractNumId w:val="25"/>
  </w:num>
  <w:num w:numId="32">
    <w:abstractNumId w:val="13"/>
  </w:num>
  <w:num w:numId="33">
    <w:abstractNumId w:val="37"/>
  </w:num>
  <w:num w:numId="34">
    <w:abstractNumId w:val="10"/>
  </w:num>
  <w:num w:numId="35">
    <w:abstractNumId w:val="19"/>
  </w:num>
  <w:num w:numId="36">
    <w:abstractNumId w:val="26"/>
  </w:num>
  <w:num w:numId="37">
    <w:abstractNumId w:val="9"/>
    <w:lvlOverride w:ilvl="0">
      <w:lvl w:ilvl="0">
        <w:start w:val="1"/>
        <w:numFmt w:val="decimal"/>
        <w:pStyle w:val="CE-Headline1"/>
        <w:suff w:val="space"/>
        <w:lvlText w:val="%1."/>
        <w:lvlJc w:val="left"/>
        <w:pPr>
          <w:ind w:left="426" w:firstLine="0"/>
        </w:pPr>
        <w:rPr>
          <w:rFonts w:hint="default"/>
        </w:rPr>
      </w:lvl>
    </w:lvlOverride>
  </w:num>
  <w:num w:numId="38">
    <w:abstractNumId w:val="30"/>
  </w:num>
  <w:num w:numId="39">
    <w:abstractNumId w:val="1"/>
  </w:num>
  <w:num w:numId="40">
    <w:abstractNumId w:val="34"/>
  </w:num>
  <w:num w:numId="4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77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057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5A9E"/>
    <w:rsid w:val="0012600E"/>
    <w:rsid w:val="00127608"/>
    <w:rsid w:val="001279D2"/>
    <w:rsid w:val="00127C1A"/>
    <w:rsid w:val="00127D22"/>
    <w:rsid w:val="001301BA"/>
    <w:rsid w:val="001313D2"/>
    <w:rsid w:val="001318BA"/>
    <w:rsid w:val="00132192"/>
    <w:rsid w:val="001344CB"/>
    <w:rsid w:val="00134A16"/>
    <w:rsid w:val="00134BE8"/>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2333"/>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021"/>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93F"/>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1C94"/>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108B"/>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43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3D2"/>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3FE1"/>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2173"/>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23F"/>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435"/>
    <w:rsid w:val="00EC5A71"/>
    <w:rsid w:val="00EC660C"/>
    <w:rsid w:val="00EC6EF9"/>
    <w:rsid w:val="00EC7A62"/>
    <w:rsid w:val="00EC7DDA"/>
    <w:rsid w:val="00ED03FC"/>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EFD9E-04DC-4E30-9A59-7324C57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7724A"/>
    <w:pPr>
      <w:spacing w:before="120" w:line="276" w:lineRule="auto"/>
      <w:ind w:left="1418" w:right="339"/>
      <w:jc w:val="both"/>
    </w:p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slov4">
    <w:name w:val="heading 4"/>
    <w:basedOn w:val="Navaden"/>
    <w:next w:val="Navaden"/>
    <w:pPr>
      <w:keepNext/>
      <w:outlineLvl w:val="3"/>
    </w:pPr>
    <w:rPr>
      <w:rFonts w:ascii="Verdana" w:hAnsi="Verdana"/>
      <w:b/>
      <w:bCs/>
    </w:rPr>
  </w:style>
  <w:style w:type="paragraph" w:styleId="Naslov5">
    <w:name w:val="heading 5"/>
    <w:basedOn w:val="Navaden"/>
    <w:next w:val="Navaden"/>
    <w:pPr>
      <w:numPr>
        <w:ilvl w:val="4"/>
        <w:numId w:val="2"/>
      </w:numPr>
      <w:spacing w:before="240" w:after="60"/>
      <w:outlineLvl w:val="4"/>
    </w:pPr>
    <w:rPr>
      <w:rFonts w:ascii="Verdana" w:hAnsi="Verdana"/>
      <w:b/>
      <w:bCs/>
      <w:i/>
      <w:iCs/>
      <w:szCs w:val="26"/>
    </w:rPr>
  </w:style>
  <w:style w:type="paragraph" w:styleId="Naslov6">
    <w:name w:val="heading 6"/>
    <w:basedOn w:val="Navaden"/>
    <w:next w:val="Navaden"/>
    <w:pPr>
      <w:numPr>
        <w:ilvl w:val="5"/>
        <w:numId w:val="2"/>
      </w:numPr>
      <w:spacing w:before="240" w:after="60"/>
      <w:outlineLvl w:val="5"/>
    </w:pPr>
    <w:rPr>
      <w:rFonts w:ascii="Verdana" w:hAnsi="Verdana"/>
      <w:b/>
      <w:bCs/>
    </w:rPr>
  </w:style>
  <w:style w:type="paragraph" w:styleId="Naslov7">
    <w:name w:val="heading 7"/>
    <w:basedOn w:val="Navaden"/>
    <w:next w:val="Navaden"/>
    <w:pPr>
      <w:numPr>
        <w:ilvl w:val="6"/>
        <w:numId w:val="2"/>
      </w:numPr>
      <w:spacing w:before="240" w:after="60"/>
      <w:outlineLvl w:val="6"/>
    </w:pPr>
    <w:rPr>
      <w:rFonts w:ascii="Verdana" w:hAnsi="Verdana"/>
    </w:rPr>
  </w:style>
  <w:style w:type="paragraph" w:styleId="Naslov8">
    <w:name w:val="heading 8"/>
    <w:basedOn w:val="Navaden"/>
    <w:next w:val="Navaden"/>
    <w:pPr>
      <w:numPr>
        <w:ilvl w:val="7"/>
        <w:numId w:val="2"/>
      </w:numPr>
      <w:spacing w:before="240" w:after="60"/>
      <w:outlineLvl w:val="7"/>
    </w:pPr>
    <w:rPr>
      <w:rFonts w:ascii="Verdana" w:hAnsi="Verdana"/>
      <w:i/>
      <w:iCs/>
    </w:rPr>
  </w:style>
  <w:style w:type="paragraph" w:styleId="Naslov9">
    <w:name w:val="heading 9"/>
    <w:basedOn w:val="Navaden"/>
    <w:next w:val="Navaden"/>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rPr>
      <w:rFonts w:ascii="Verdana" w:hAnsi="Verdana"/>
      <w:sz w:val="16"/>
    </w:rPr>
  </w:style>
  <w:style w:type="paragraph" w:styleId="Noga">
    <w:name w:val="footer"/>
    <w:basedOn w:val="Navaden"/>
    <w:link w:val="NogaZnak"/>
    <w:uiPriority w:val="99"/>
    <w:pPr>
      <w:tabs>
        <w:tab w:val="center" w:pos="4536"/>
        <w:tab w:val="right" w:pos="9072"/>
      </w:tabs>
    </w:pPr>
    <w:rPr>
      <w:rFonts w:ascii="Verdana" w:hAnsi="Verdana"/>
      <w:noProof/>
      <w:sz w:val="16"/>
    </w:rPr>
  </w:style>
  <w:style w:type="character" w:styleId="tevilkastrani">
    <w:name w:val="page number"/>
    <w:basedOn w:val="Privzetapisavaodstavka"/>
    <w:semiHidden/>
    <w:rPr>
      <w:rFonts w:ascii="Verdana" w:hAnsi="Verdana"/>
      <w:sz w:val="20"/>
    </w:rPr>
  </w:style>
  <w:style w:type="paragraph" w:styleId="Telobesedila-zamik">
    <w:name w:val="Body Text Indent"/>
    <w:basedOn w:val="Navaden"/>
    <w:semiHidden/>
    <w:pPr>
      <w:spacing w:before="60" w:after="60"/>
      <w:ind w:left="720"/>
    </w:pPr>
    <w:rPr>
      <w:rFonts w:ascii="Verdana" w:hAnsi="Verdana"/>
    </w:rPr>
  </w:style>
  <w:style w:type="paragraph" w:styleId="Telobesedila">
    <w:name w:val="Body Text"/>
    <w:basedOn w:val="Navaden"/>
    <w:link w:val="TelobesedilaZnak"/>
    <w:semiHidden/>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avadensplet">
    <w:name w:val="Normal (Web)"/>
    <w:basedOn w:val="Navaden"/>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Privzetapisavaodstavka"/>
    <w:rsid w:val="0037093F"/>
  </w:style>
  <w:style w:type="table" w:styleId="Svetelseznampoudarek1">
    <w:name w:val="Light List Accent 1"/>
    <w:basedOn w:val="Navadnatabel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themeColor="followedHyperlink"/>
      <w:u w:val="single"/>
    </w:rPr>
  </w:style>
  <w:style w:type="paragraph" w:styleId="Revizija">
    <w:name w:val="Revision"/>
    <w:hidden/>
    <w:uiPriority w:val="99"/>
    <w:semiHidden/>
    <w:rsid w:val="00F842CD"/>
    <w:rPr>
      <w:rFonts w:ascii="Calibri" w:eastAsia="Calibri" w:hAnsi="Calibri"/>
      <w:sz w:val="22"/>
      <w:szCs w:val="22"/>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etlosenenjepoudarek5">
    <w:name w:val="Light Shading Accent 5"/>
    <w:basedOn w:val="Navadnatabel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NaslovZnak">
    <w:name w:val="Naslov Znak"/>
    <w:basedOn w:val="Privzetapisavaodstavka"/>
    <w:link w:val="Naslo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slov1Znak">
    <w:name w:val="Naslov 1 Znak"/>
    <w:basedOn w:val="Privzetapisavaodstavka"/>
    <w:link w:val="Naslov1"/>
    <w:rsid w:val="00877C37"/>
    <w:rPr>
      <w:rFonts w:ascii="Arial Rounded MT Bold" w:hAnsi="Arial Rounded MT Bold"/>
      <w:b/>
      <w:bCs/>
      <w:color w:val="7D8B8A" w:themeColor="accent1"/>
      <w:sz w:val="28"/>
    </w:rPr>
  </w:style>
  <w:style w:type="character" w:customStyle="1" w:styleId="CommsHeading1Char">
    <w:name w:val="Comms Heading 1 Char"/>
    <w:basedOn w:val="Naslov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themeColor="accent1" w:themeShade="BF"/>
    </w:rPr>
  </w:style>
  <w:style w:type="character" w:customStyle="1" w:styleId="Naslov2Znak">
    <w:name w:val="Naslov 2 Znak"/>
    <w:basedOn w:val="Privzetapisavaodstavka"/>
    <w:link w:val="Naslov2"/>
    <w:rsid w:val="00877C37"/>
    <w:rPr>
      <w:rFonts w:ascii="Arial Rounded MT Bold" w:hAnsi="Arial Rounded MT Bold"/>
      <w:b/>
      <w:bCs/>
      <w:iCs/>
      <w:color w:val="7D8B8A" w:themeColor="accent1"/>
      <w:sz w:val="24"/>
    </w:rPr>
  </w:style>
  <w:style w:type="character" w:customStyle="1" w:styleId="CommsHeading11Char">
    <w:name w:val="Comms Heading 1.1 Char"/>
    <w:basedOn w:val="Naslov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themeColor="accent1"/>
    </w:rPr>
  </w:style>
  <w:style w:type="character" w:customStyle="1" w:styleId="CommsHeading111Char">
    <w:name w:val="Comms Heading 1.1.1 Char"/>
    <w:basedOn w:val="Naslov3Znak"/>
    <w:link w:val="CommsHeading111"/>
    <w:rsid w:val="007E62DC"/>
    <w:rPr>
      <w:rFonts w:ascii="Trebuchet MS" w:eastAsia="Calibri" w:hAnsi="Trebuchet MS"/>
      <w:b/>
      <w:iCs/>
      <w:color w:val="5D6867" w:themeColor="accent1" w:themeShade="BF"/>
    </w:rPr>
  </w:style>
  <w:style w:type="paragraph" w:styleId="NaslovTOC">
    <w:name w:val="TOC Heading"/>
    <w:basedOn w:val="Naslov1"/>
    <w:next w:val="Navaden"/>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themeColor="accent5"/>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themeColor="accent5"/>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heme="minorHAnsi" w:hAnsiTheme="minorHAnsi"/>
    </w:rPr>
  </w:style>
  <w:style w:type="paragraph" w:styleId="Kazalovsebine5">
    <w:name w:val="toc 5"/>
    <w:basedOn w:val="Navaden"/>
    <w:next w:val="Navaden"/>
    <w:autoRedefine/>
    <w:uiPriority w:val="39"/>
    <w:unhideWhenUsed/>
    <w:rsid w:val="006A676A"/>
    <w:pPr>
      <w:ind w:left="660"/>
    </w:pPr>
    <w:rPr>
      <w:rFonts w:asciiTheme="minorHAnsi" w:hAnsiTheme="minorHAnsi"/>
    </w:rPr>
  </w:style>
  <w:style w:type="paragraph" w:styleId="Kazalovsebine6">
    <w:name w:val="toc 6"/>
    <w:basedOn w:val="Navaden"/>
    <w:next w:val="Navaden"/>
    <w:autoRedefine/>
    <w:uiPriority w:val="39"/>
    <w:unhideWhenUsed/>
    <w:rsid w:val="006A676A"/>
    <w:pPr>
      <w:ind w:left="880"/>
    </w:pPr>
    <w:rPr>
      <w:rFonts w:asciiTheme="minorHAnsi" w:hAnsiTheme="minorHAnsi"/>
    </w:rPr>
  </w:style>
  <w:style w:type="paragraph" w:styleId="Kazalovsebine7">
    <w:name w:val="toc 7"/>
    <w:basedOn w:val="Navaden"/>
    <w:next w:val="Navaden"/>
    <w:autoRedefine/>
    <w:uiPriority w:val="39"/>
    <w:unhideWhenUsed/>
    <w:rsid w:val="006A676A"/>
    <w:pPr>
      <w:ind w:left="1100"/>
    </w:pPr>
    <w:rPr>
      <w:rFonts w:asciiTheme="minorHAnsi" w:hAnsiTheme="minorHAnsi"/>
    </w:rPr>
  </w:style>
  <w:style w:type="paragraph" w:styleId="Kazalovsebine8">
    <w:name w:val="toc 8"/>
    <w:basedOn w:val="Navaden"/>
    <w:next w:val="Navaden"/>
    <w:autoRedefine/>
    <w:uiPriority w:val="39"/>
    <w:unhideWhenUsed/>
    <w:rsid w:val="006A676A"/>
    <w:pPr>
      <w:ind w:left="1320"/>
    </w:pPr>
    <w:rPr>
      <w:rFonts w:asciiTheme="minorHAnsi" w:hAnsiTheme="minorHAnsi"/>
    </w:rPr>
  </w:style>
  <w:style w:type="paragraph" w:styleId="Kazalovsebine9">
    <w:name w:val="toc 9"/>
    <w:basedOn w:val="Navaden"/>
    <w:next w:val="Navaden"/>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rednjesenenje1poudarek1">
    <w:name w:val="Medium Shading 1 Accent 1"/>
    <w:basedOn w:val="Navadnatabel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rPr>
  </w:style>
  <w:style w:type="table" w:styleId="Srednjamrea3poudarek6">
    <w:name w:val="Medium Grid 3 Accent 6"/>
    <w:basedOn w:val="Navadnatabel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rPr>
  </w:style>
  <w:style w:type="paragraph" w:styleId="Telobesedila2">
    <w:name w:val="Body Text 2"/>
    <w:basedOn w:val="Navaden"/>
    <w:link w:val="Telobesedila2Znak"/>
    <w:uiPriority w:val="99"/>
    <w:unhideWhenUsed/>
    <w:rsid w:val="00995597"/>
    <w:pPr>
      <w:ind w:left="0" w:right="28"/>
      <w:jc w:val="left"/>
    </w:pPr>
    <w:rPr>
      <w:color w:val="FFFFFF" w:themeColor="background1"/>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etelseznam">
    <w:name w:val="Light List"/>
    <w:basedOn w:val="Navadnatabel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gt-text">
    <w:name w:val="gt-text"/>
    <w:basedOn w:val="Privzetapisavaodstavka"/>
    <w:rsid w:val="00421021"/>
  </w:style>
  <w:style w:type="paragraph" w:customStyle="1" w:styleId="Standard">
    <w:name w:val="Standard"/>
    <w:rsid w:val="00421021"/>
    <w:pPr>
      <w:suppressAutoHyphens/>
      <w:autoSpaceDN w:val="0"/>
      <w:textAlignment w:val="baseline"/>
    </w:pPr>
    <w:rPr>
      <w:rFonts w:ascii="Liberation Serif" w:eastAsia="SimSun" w:hAnsi="Liberation Serif" w:cs="Mangal"/>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562661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60495763">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2EAA1.A5EF3F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AA1.A5EF3FC0" TargetMode="External"/><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H~1.GAB\AppData\Local\Temp\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46D0-3729-441F-A003-0CA87067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9</TotalTime>
  <Pages>4</Pages>
  <Words>961</Words>
  <Characters>5483</Characters>
  <Application>Microsoft Office Word</Application>
  <DocSecurity>0</DocSecurity>
  <Lines>45</Lines>
  <Paragraphs>12</Paragraphs>
  <ScaleCrop>false</ScaleCrop>
  <HeadingPairs>
    <vt:vector size="8" baseType="variant">
      <vt:variant>
        <vt:lpstr>Cím</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Saša</cp:lastModifiedBy>
  <cp:revision>5</cp:revision>
  <cp:lastPrinted>2016-07-14T11:02:00Z</cp:lastPrinted>
  <dcterms:created xsi:type="dcterms:W3CDTF">2020-04-20T14:34:00Z</dcterms:created>
  <dcterms:modified xsi:type="dcterms:W3CDTF">2020-04-20T14:59:00Z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