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rsidR="000E4C08" w:rsidRDefault="00C173F9" w:rsidP="00CA5EA6">
          <w:pPr>
            <w:pStyle w:val="CE-MEGA"/>
            <w:spacing w:line="240" w:lineRule="auto"/>
          </w:pPr>
          <w:r>
            <w:t>template</w:t>
          </w:r>
        </w:p>
        <w:p w:rsidR="000E4C08" w:rsidRPr="00CA5EA6" w:rsidRDefault="003D7F45" w:rsidP="00CA5EA6">
          <w:pPr>
            <w:pStyle w:val="CE-Head2"/>
            <w:rPr>
              <w:sz w:val="36"/>
              <w:lang w:val="en-GB"/>
            </w:rPr>
          </w:pPr>
          <w:r>
            <w:rPr>
              <w:lang w:val="it-IT" w:eastAsia="it-IT"/>
            </w:rPr>
            <mc:AlternateContent>
              <mc:Choice Requires="wps">
                <w:drawing>
                  <wp:anchor distT="0" distB="0" distL="114300" distR="114300" simplePos="0" relativeHeight="251661312" behindDoc="0" locked="0" layoutInCell="1" allowOverlap="1" wp14:anchorId="1DCBEA3F" wp14:editId="32E63E7E">
                    <wp:simplePos x="0" y="0"/>
                    <wp:positionH relativeFrom="column">
                      <wp:posOffset>4934585</wp:posOffset>
                    </wp:positionH>
                    <wp:positionV relativeFrom="paragraph">
                      <wp:posOffset>19685</wp:posOffset>
                    </wp:positionV>
                    <wp:extent cx="132397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23975" cy="409575"/>
                            </a:xfrm>
                            <a:prstGeom prst="rect">
                              <a:avLst/>
                            </a:prstGeom>
                            <a:noFill/>
                            <a:ln w="6350">
                              <a:noFill/>
                            </a:ln>
                          </wps:spPr>
                          <wps:txbx>
                            <w:txbxContent>
                              <w:p w:rsidR="000E4C08" w:rsidRPr="003D7F45" w:rsidRDefault="000E4C08" w:rsidP="001A6A77">
                                <w:pPr>
                                  <w:pStyle w:val="CE-Head2"/>
                                  <w:jc w:val="right"/>
                                  <w:rPr>
                                    <w:sz w:val="32"/>
                                    <w:szCs w:val="32"/>
                                  </w:rPr>
                                </w:pPr>
                                <w:r w:rsidRPr="003D7F45">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BEA3F" id="_x0000_t202" coordsize="21600,21600" o:spt="202" path="m,l,21600r21600,l21600,xe">
                    <v:stroke joinstyle="miter"/>
                    <v:path gradientshapeok="t" o:connecttype="rect"/>
                  </v:shapetype>
                  <v:shape id="Textfeld 6" o:spid="_x0000_s1026" type="#_x0000_t202" style="position:absolute;left:0;text-align:left;margin-left:388.55pt;margin-top:1.55pt;width:104.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" filled="f" stroked="f" strokeweight=".5pt">
                    <v:textbox>
                      <w:txbxContent>
                        <w:p w:rsidR="000E4C08" w:rsidRPr="003D7F45" w:rsidRDefault="000E4C08" w:rsidP="001A6A77">
                          <w:pPr>
                            <w:pStyle w:val="CE-Head2"/>
                            <w:jc w:val="right"/>
                            <w:rPr>
                              <w:sz w:val="32"/>
                              <w:szCs w:val="32"/>
                            </w:rPr>
                          </w:pPr>
                          <w:r w:rsidRPr="003D7F45">
                            <w:rPr>
                              <w:sz w:val="32"/>
                              <w:szCs w:val="32"/>
                            </w:rPr>
                            <w:t>Version 1</w:t>
                          </w:r>
                        </w:p>
                      </w:txbxContent>
                    </v:textbox>
                  </v:shape>
                </w:pict>
              </mc:Fallback>
            </mc:AlternateContent>
          </w:r>
          <w:r w:rsidR="00C173F9">
            <w:rPr>
              <w:sz w:val="36"/>
              <w:lang w:val="en-GB"/>
            </w:rPr>
            <w:t>Output fact</w:t>
          </w:r>
          <w:r w:rsidR="00C173F9" w:rsidRPr="00C551C0">
            <w:rPr>
              <w:sz w:val="36"/>
              <w:lang w:val="en-GB"/>
            </w:rPr>
            <w:t>sheet</w:t>
          </w:r>
          <w:r w:rsidR="00C173F9">
            <w:rPr>
              <w:sz w:val="36"/>
              <w:lang w:val="en-GB"/>
            </w:rPr>
            <w:t>:</w:t>
          </w:r>
          <w:r w:rsidR="00CA5EA6">
            <w:rPr>
              <w:lang w:val="it-IT" w:eastAsia="it-IT"/>
            </w:rPr>
            <mc:AlternateContent>
              <mc:Choice Requires="wps">
                <w:drawing>
                  <wp:anchor distT="0" distB="0" distL="114300" distR="114300" simplePos="0" relativeHeight="251660288" behindDoc="0" locked="0" layoutInCell="1" allowOverlap="1" wp14:anchorId="7174B270" wp14:editId="24EE6AF3">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AD055A"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it-IT" w:eastAsia="it-IT"/>
            </w:rPr>
            <mc:AlternateContent>
              <mc:Choice Requires="wps">
                <w:drawing>
                  <wp:anchor distT="0" distB="0" distL="114300" distR="114300" simplePos="0" relativeHeight="251659264" behindDoc="0" locked="0" layoutInCell="1" allowOverlap="1" wp14:anchorId="4BB7F3B4" wp14:editId="6B0D1F3F">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BCB073"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C173F9">
            <w:rPr>
              <w:sz w:val="36"/>
              <w:lang w:val="en-GB"/>
            </w:rPr>
            <w:t xml:space="preserve"> </w:t>
          </w:r>
          <w:r w:rsidR="00212FBB">
            <w:rPr>
              <w:sz w:val="36"/>
              <w:lang w:val="en-GB"/>
            </w:rPr>
            <w:t>Pilot actions</w:t>
          </w:r>
        </w:p>
        <w:p w:rsidR="00156013" w:rsidRPr="00156013" w:rsidRDefault="00E468FE"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EE2947" w:rsidTr="00C173F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Head"/>
              <w:spacing w:line="276" w:lineRule="auto"/>
              <w:ind w:right="0"/>
              <w:jc w:val="left"/>
              <w:rPr>
                <w:sz w:val="22"/>
                <w:szCs w:val="22"/>
                <w:lang w:val="en-GB"/>
              </w:rPr>
            </w:pPr>
            <w:r w:rsidRPr="00C173F9">
              <w:rPr>
                <w:sz w:val="22"/>
                <w:szCs w:val="22"/>
                <w:lang w:val="en-GB"/>
              </w:rPr>
              <w:t>Project index number and acronym</w:t>
            </w:r>
          </w:p>
        </w:tc>
        <w:tc>
          <w:tcPr>
            <w:tcW w:w="5529" w:type="dxa"/>
          </w:tcPr>
          <w:p w:rsidR="00156013" w:rsidRPr="00805D51" w:rsidRDefault="0056540E" w:rsidP="00BF2027">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CE 111 FOCUS IN CD</w:t>
            </w:r>
          </w:p>
        </w:tc>
      </w:tr>
      <w:tr w:rsidR="00156013" w:rsidRPr="00156013"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sz w:val="22"/>
                <w:szCs w:val="22"/>
              </w:rPr>
            </w:pPr>
            <w:r w:rsidRPr="00C173F9">
              <w:rPr>
                <w:rFonts w:eastAsiaTheme="minorHAnsi" w:cstheme="minorBidi"/>
                <w:b/>
                <w:bCs/>
                <w:iCs/>
                <w:noProof/>
                <w:sz w:val="22"/>
                <w:szCs w:val="22"/>
                <w:lang w:val="en-GB" w:eastAsia="de-AT"/>
              </w:rPr>
              <w:t>Lead partner</w:t>
            </w:r>
          </w:p>
        </w:tc>
        <w:tc>
          <w:tcPr>
            <w:tcW w:w="5529" w:type="dxa"/>
          </w:tcPr>
          <w:p w:rsidR="00156013" w:rsidRPr="00805D51" w:rsidRDefault="0056540E"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MUNICIPALITY OF MARIBOR (LP MOM)</w:t>
            </w:r>
          </w:p>
        </w:tc>
      </w:tr>
      <w:tr w:rsidR="00156013" w:rsidRPr="00156013" w:rsidTr="00C17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Head"/>
              <w:spacing w:line="276" w:lineRule="auto"/>
              <w:ind w:right="0"/>
              <w:jc w:val="left"/>
              <w:rPr>
                <w:sz w:val="22"/>
                <w:szCs w:val="22"/>
                <w:lang w:val="en-GB"/>
              </w:rPr>
            </w:pPr>
            <w:r w:rsidRPr="00C173F9">
              <w:rPr>
                <w:sz w:val="22"/>
                <w:szCs w:val="22"/>
                <w:lang w:val="en-GB"/>
              </w:rPr>
              <w:t>Output number and title</w:t>
            </w:r>
          </w:p>
        </w:tc>
        <w:tc>
          <w:tcPr>
            <w:tcW w:w="5529" w:type="dxa"/>
          </w:tcPr>
          <w:p w:rsidR="00156013" w:rsidRPr="00156013" w:rsidRDefault="0056540E" w:rsidP="00BF2027">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sz w:val="24"/>
              </w:rPr>
            </w:pPr>
            <w:r>
              <w:rPr>
                <w:sz w:val="24"/>
              </w:rPr>
              <w:t>0.T3.1 Development and implementation of 10 pilot projects- pilot: “Improvement of diagnostic of atypical CD patients”.</w:t>
            </w:r>
          </w:p>
        </w:tc>
      </w:tr>
      <w:tr w:rsidR="00156013" w:rsidRPr="00EE2947"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sz w:val="22"/>
                <w:szCs w:val="22"/>
              </w:rPr>
            </w:pPr>
            <w:r w:rsidRPr="00C173F9">
              <w:rPr>
                <w:rFonts w:eastAsiaTheme="minorHAnsi" w:cstheme="minorBidi"/>
                <w:b/>
                <w:bCs/>
                <w:iCs/>
                <w:noProof/>
                <w:sz w:val="22"/>
                <w:szCs w:val="22"/>
                <w:lang w:val="en-GB" w:eastAsia="de-AT"/>
              </w:rPr>
              <w:t>Responsible partner (PP name and number)</w:t>
            </w:r>
          </w:p>
        </w:tc>
        <w:tc>
          <w:tcPr>
            <w:tcW w:w="5529" w:type="dxa"/>
          </w:tcPr>
          <w:p w:rsidR="00156013" w:rsidRPr="0056540E" w:rsidRDefault="0056540E"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it-IT"/>
              </w:rPr>
            </w:pPr>
            <w:r w:rsidRPr="0056540E">
              <w:rPr>
                <w:lang w:val="it-IT"/>
              </w:rPr>
              <w:t>PP7 IRCCS Burlo Garofolo Trieste-</w:t>
            </w:r>
            <w:proofErr w:type="spellStart"/>
            <w:r w:rsidRPr="0056540E">
              <w:rPr>
                <w:lang w:val="it-IT"/>
              </w:rPr>
              <w:t>Italy</w:t>
            </w:r>
            <w:proofErr w:type="spellEnd"/>
          </w:p>
          <w:p w:rsidR="0056540E" w:rsidRPr="0056540E" w:rsidRDefault="0056540E"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it-IT"/>
              </w:rPr>
            </w:pPr>
            <w:r>
              <w:rPr>
                <w:lang w:val="it-IT"/>
              </w:rPr>
              <w:t>Tarcisio Not</w:t>
            </w:r>
          </w:p>
        </w:tc>
      </w:tr>
      <w:tr w:rsidR="00F102B2" w:rsidRPr="00F102B2" w:rsidTr="00C17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F102B2" w:rsidRPr="00C173F9" w:rsidRDefault="00F102B2" w:rsidP="00BF2027">
            <w:pPr>
              <w:pStyle w:val="CE-TableStandardWhite"/>
              <w:spacing w:line="276" w:lineRule="auto"/>
              <w:rPr>
                <w:rFonts w:eastAsiaTheme="minorHAnsi" w:cstheme="minorBidi"/>
                <w:iCs/>
                <w:noProof/>
                <w:sz w:val="22"/>
                <w:szCs w:val="22"/>
                <w:lang w:val="en-GB" w:eastAsia="de-AT"/>
              </w:rPr>
            </w:pPr>
            <w:r w:rsidRPr="00C173F9">
              <w:rPr>
                <w:rFonts w:eastAsiaTheme="minorHAnsi" w:cstheme="minorBidi"/>
                <w:b/>
                <w:bCs/>
                <w:iCs/>
                <w:noProof/>
                <w:sz w:val="22"/>
                <w:szCs w:val="22"/>
                <w:lang w:val="en-GB" w:eastAsia="de-AT"/>
              </w:rPr>
              <w:t>Project website</w:t>
            </w:r>
          </w:p>
        </w:tc>
        <w:tc>
          <w:tcPr>
            <w:tcW w:w="5529" w:type="dxa"/>
          </w:tcPr>
          <w:p w:rsidR="00F102B2" w:rsidRPr="00805D51" w:rsidRDefault="00DF3443" w:rsidP="00BF2027">
            <w:pPr>
              <w:pStyle w:val="CE-TableStandard"/>
              <w:spacing w:line="276" w:lineRule="auto"/>
              <w:cnfStyle w:val="000000100000" w:firstRow="0" w:lastRow="0" w:firstColumn="0" w:lastColumn="0" w:oddVBand="0" w:evenVBand="0" w:oddHBand="1" w:evenHBand="0" w:firstRowFirstColumn="0" w:firstRowLastColumn="0" w:lastRowFirstColumn="0" w:lastRowLastColumn="0"/>
            </w:pPr>
            <w:r>
              <w:t>https://www.interreg-central.eu/Content.Node/Focus-IN-CD.html</w:t>
            </w:r>
          </w:p>
        </w:tc>
      </w:tr>
      <w:tr w:rsidR="00156013" w:rsidRPr="00156013"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rFonts w:eastAsiaTheme="minorHAnsi" w:cstheme="minorBidi"/>
                <w:b/>
                <w:bCs/>
                <w:iCs/>
                <w:noProof/>
                <w:sz w:val="22"/>
                <w:szCs w:val="22"/>
                <w:lang w:val="en-GB" w:eastAsia="de-AT"/>
              </w:rPr>
            </w:pPr>
            <w:r w:rsidRPr="00C173F9">
              <w:rPr>
                <w:rFonts w:eastAsiaTheme="minorHAnsi" w:cstheme="minorBidi"/>
                <w:b/>
                <w:bCs/>
                <w:iCs/>
                <w:noProof/>
                <w:sz w:val="22"/>
                <w:szCs w:val="22"/>
                <w:lang w:val="en-GB" w:eastAsia="de-AT"/>
              </w:rPr>
              <w:t>Delivery date</w:t>
            </w:r>
          </w:p>
        </w:tc>
        <w:tc>
          <w:tcPr>
            <w:tcW w:w="5529" w:type="dxa"/>
          </w:tcPr>
          <w:p w:rsidR="00156013" w:rsidRPr="00805D51" w:rsidRDefault="00DF3443"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01-2019</w:t>
            </w:r>
          </w:p>
        </w:tc>
      </w:tr>
    </w:tbl>
    <w:p w:rsidR="00156013" w:rsidRPr="00EA5FC7" w:rsidRDefault="00156013" w:rsidP="00BF2027">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EE2947" w:rsidTr="00C173F9">
        <w:trPr>
          <w:cnfStyle w:val="100000000000" w:firstRow="1" w:lastRow="0" w:firstColumn="0" w:lastColumn="0" w:oddVBand="0" w:evenVBand="0" w:oddHBand="0" w:evenHBand="0" w:firstRowFirstColumn="0" w:firstRowLastColumn="0" w:lastRowFirstColumn="0" w:lastRowLastColumn="0"/>
          <w:cantSplit/>
          <w:trHeight w:val="315"/>
        </w:trPr>
        <w:tc>
          <w:tcPr>
            <w:tcW w:w="9498" w:type="dxa"/>
            <w:shd w:val="clear" w:color="auto" w:fill="63858D" w:themeFill="accent2" w:themeFillShade="BF"/>
            <w:tcMar>
              <w:top w:w="170" w:type="dxa"/>
              <w:bottom w:w="113" w:type="dxa"/>
            </w:tcMar>
          </w:tcPr>
          <w:p w:rsidR="007B6FAA" w:rsidRPr="007B6FAA" w:rsidRDefault="00F102B2"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C57D52">
              <w:rPr>
                <w:rFonts w:eastAsiaTheme="minorHAnsi" w:cstheme="minorBidi"/>
                <w:iCs/>
                <w:noProof/>
                <w:color w:val="FFFFFF" w:themeColor="background1"/>
                <w:sz w:val="22"/>
                <w:szCs w:val="24"/>
                <w:lang w:val="en-GB" w:eastAsia="de-AT"/>
              </w:rPr>
              <w:t xml:space="preserve">pilot action </w:t>
            </w:r>
            <w:r w:rsidR="00094F0C">
              <w:rPr>
                <w:rFonts w:eastAsiaTheme="minorHAnsi" w:cstheme="minorBidi"/>
                <w:iCs/>
                <w:noProof/>
                <w:color w:val="FFFFFF" w:themeColor="background1"/>
                <w:sz w:val="22"/>
                <w:szCs w:val="24"/>
                <w:lang w:val="en-GB" w:eastAsia="de-AT"/>
              </w:rPr>
              <w:t xml:space="preserve">explaining </w:t>
            </w:r>
            <w:r w:rsidR="00C57D52">
              <w:rPr>
                <w:rFonts w:eastAsiaTheme="minorHAnsi" w:cstheme="minorBidi"/>
                <w:iCs/>
                <w:noProof/>
                <w:color w:val="FFFFFF" w:themeColor="background1"/>
                <w:sz w:val="22"/>
                <w:szCs w:val="24"/>
                <w:lang w:val="en-GB" w:eastAsia="de-AT"/>
              </w:rPr>
              <w:t xml:space="preserve">its </w:t>
            </w:r>
            <w:r w:rsidR="00094F0C">
              <w:rPr>
                <w:rFonts w:eastAsiaTheme="minorHAnsi" w:cstheme="minorBidi"/>
                <w:iCs/>
                <w:noProof/>
                <w:color w:val="FFFFFF" w:themeColor="background1"/>
                <w:sz w:val="22"/>
                <w:szCs w:val="24"/>
                <w:lang w:val="en-GB" w:eastAsia="de-AT"/>
              </w:rPr>
              <w:t xml:space="preserve">experimental nature and </w:t>
            </w:r>
            <w:r w:rsidR="00C57D52">
              <w:rPr>
                <w:rFonts w:eastAsiaTheme="minorHAnsi" w:cstheme="minorBidi"/>
                <w:iCs/>
                <w:noProof/>
                <w:color w:val="FFFFFF" w:themeColor="background1"/>
                <w:sz w:val="22"/>
                <w:szCs w:val="24"/>
                <w:lang w:val="en-GB" w:eastAsia="de-AT"/>
              </w:rPr>
              <w:t>demonstration character</w:t>
            </w:r>
            <w:r w:rsidR="00EA5FC7">
              <w:rPr>
                <w:rFonts w:eastAsiaTheme="minorHAnsi" w:cstheme="minorBidi"/>
                <w:iCs/>
                <w:noProof/>
                <w:color w:val="FFFFFF" w:themeColor="background1"/>
                <w:sz w:val="22"/>
                <w:szCs w:val="24"/>
                <w:lang w:val="en-GB" w:eastAsia="de-AT"/>
              </w:rPr>
              <w:t xml:space="preserve"> </w:t>
            </w:r>
          </w:p>
        </w:tc>
      </w:tr>
      <w:tr w:rsidR="007B6FAA" w:rsidRPr="00CA5EA6" w:rsidTr="00094F0C">
        <w:trPr>
          <w:cnfStyle w:val="000000100000" w:firstRow="0" w:lastRow="0" w:firstColumn="0" w:lastColumn="0" w:oddVBand="0" w:evenVBand="0" w:oddHBand="1" w:evenHBand="0" w:firstRowFirstColumn="0" w:firstRowLastColumn="0" w:lastRowFirstColumn="0" w:lastRowLastColumn="0"/>
          <w:cantSplit/>
          <w:trHeight w:val="3953"/>
        </w:trPr>
        <w:tc>
          <w:tcPr>
            <w:tcW w:w="9498" w:type="dxa"/>
            <w:shd w:val="clear" w:color="auto" w:fill="E4E7E7" w:themeFill="accent1" w:themeFillTint="33"/>
            <w:tcMar>
              <w:top w:w="170" w:type="dxa"/>
              <w:bottom w:w="113" w:type="dxa"/>
            </w:tcMar>
          </w:tcPr>
          <w:p w:rsidR="00DF3443" w:rsidRPr="00007BAD" w:rsidRDefault="002C7B67" w:rsidP="00DF3443">
            <w:pPr>
              <w:pStyle w:val="PreformattatoHTML"/>
              <w:contextualSpacing/>
              <w:jc w:val="both"/>
              <w:rPr>
                <w:rFonts w:asciiTheme="minorHAnsi" w:hAnsiTheme="minorHAnsi"/>
                <w:sz w:val="20"/>
                <w:lang w:val="en"/>
              </w:rPr>
            </w:pPr>
            <w:r w:rsidRPr="00007BAD">
              <w:rPr>
                <w:rFonts w:asciiTheme="minorHAnsi" w:hAnsiTheme="minorHAnsi"/>
                <w:sz w:val="20"/>
                <w:lang w:val="de-AT"/>
              </w:rPr>
              <w:t>W</w:t>
            </w:r>
            <w:r w:rsidR="00DF3443" w:rsidRPr="00007BAD">
              <w:rPr>
                <w:rFonts w:asciiTheme="minorHAnsi" w:hAnsiTheme="minorHAnsi"/>
                <w:sz w:val="20"/>
                <w:lang w:val="en"/>
              </w:rPr>
              <w:t>e investigated whether histological analysis of the duodenal biopsies combined with intestinal IgA anti-transglutaminase deposits immunoassay makes CD diagnosis possible in at-risk children with atypical forms of celiac disease.</w:t>
            </w:r>
          </w:p>
          <w:p w:rsidR="002C7B67" w:rsidRPr="00007BAD" w:rsidRDefault="002C7B67" w:rsidP="002C7B67">
            <w:pPr>
              <w:autoSpaceDE w:val="0"/>
              <w:autoSpaceDN w:val="0"/>
              <w:adjustRightInd w:val="0"/>
              <w:spacing w:before="0" w:line="240" w:lineRule="auto"/>
              <w:ind w:left="0" w:right="0"/>
              <w:rPr>
                <w:rFonts w:asciiTheme="minorHAnsi" w:hAnsiTheme="minorHAnsi" w:cs="Courier New"/>
                <w:sz w:val="20"/>
                <w:lang w:val="en-US"/>
              </w:rPr>
            </w:pPr>
            <w:r w:rsidRPr="00007BAD">
              <w:rPr>
                <w:rFonts w:asciiTheme="minorHAnsi" w:hAnsiTheme="minorHAnsi" w:cs="Courier New"/>
                <w:sz w:val="20"/>
                <w:lang w:val="en-US"/>
              </w:rPr>
              <w:t>Two hundred forty-five symptomatic children positive for serum anti-</w:t>
            </w:r>
            <w:proofErr w:type="spellStart"/>
            <w:r w:rsidRPr="00007BAD">
              <w:rPr>
                <w:rFonts w:asciiTheme="minorHAnsi" w:hAnsiTheme="minorHAnsi" w:cs="Courier New"/>
                <w:sz w:val="20"/>
                <w:lang w:val="en-US"/>
              </w:rPr>
              <w:t>tTG</w:t>
            </w:r>
            <w:proofErr w:type="spellEnd"/>
            <w:r w:rsidRPr="00007BAD">
              <w:rPr>
                <w:rFonts w:asciiTheme="minorHAnsi" w:hAnsiTheme="minorHAnsi" w:cs="Courier New"/>
                <w:sz w:val="20"/>
                <w:lang w:val="en-US"/>
              </w:rPr>
              <w:t xml:space="preserve"> (&gt;7 U/mL) were enrolled and divided into 3 groups: extensive duodenal atrophy (n=209), with IgA anti-</w:t>
            </w:r>
            <w:proofErr w:type="spellStart"/>
            <w:r w:rsidRPr="00007BAD">
              <w:rPr>
                <w:rFonts w:asciiTheme="minorHAnsi" w:hAnsiTheme="minorHAnsi" w:cs="Courier New"/>
                <w:sz w:val="20"/>
                <w:lang w:val="en-US"/>
              </w:rPr>
              <w:t>tTG</w:t>
            </w:r>
            <w:proofErr w:type="spellEnd"/>
            <w:r w:rsidRPr="00007BAD">
              <w:rPr>
                <w:rFonts w:asciiTheme="minorHAnsi" w:hAnsiTheme="minorHAnsi" w:cs="Courier New"/>
                <w:sz w:val="20"/>
                <w:lang w:val="en-US"/>
              </w:rPr>
              <w:t xml:space="preserve"> deposits throughout the duodenum and high serum anti-</w:t>
            </w:r>
            <w:proofErr w:type="spellStart"/>
            <w:r w:rsidRPr="00007BAD">
              <w:rPr>
                <w:rFonts w:asciiTheme="minorHAnsi" w:hAnsiTheme="minorHAnsi" w:cs="Courier New"/>
                <w:sz w:val="20"/>
                <w:lang w:val="en-US"/>
              </w:rPr>
              <w:t>tTG</w:t>
            </w:r>
            <w:proofErr w:type="spellEnd"/>
            <w:r w:rsidRPr="00007BAD">
              <w:rPr>
                <w:rFonts w:asciiTheme="minorHAnsi" w:hAnsiTheme="minorHAnsi" w:cs="Courier New"/>
                <w:sz w:val="20"/>
                <w:lang w:val="en-US"/>
              </w:rPr>
              <w:t xml:space="preserve"> concentrations (157±178 U/mL); bulb duodenal atrophy (n=22), with widespread IgA anti-</w:t>
            </w:r>
            <w:proofErr w:type="spellStart"/>
            <w:r w:rsidRPr="00007BAD">
              <w:rPr>
                <w:rFonts w:asciiTheme="minorHAnsi" w:hAnsiTheme="minorHAnsi" w:cs="Courier New"/>
                <w:sz w:val="20"/>
                <w:lang w:val="en-US"/>
              </w:rPr>
              <w:t>tTG</w:t>
            </w:r>
            <w:proofErr w:type="spellEnd"/>
            <w:r w:rsidRPr="00007BAD">
              <w:rPr>
                <w:rFonts w:asciiTheme="minorHAnsi" w:hAnsiTheme="minorHAnsi" w:cs="Courier New"/>
                <w:sz w:val="20"/>
                <w:lang w:val="en-US"/>
              </w:rPr>
              <w:t xml:space="preserve"> deposits in 9 and in the bulb alone in 13 and low serum anti-</w:t>
            </w:r>
            <w:proofErr w:type="spellStart"/>
            <w:r w:rsidRPr="00007BAD">
              <w:rPr>
                <w:rFonts w:asciiTheme="minorHAnsi" w:hAnsiTheme="minorHAnsi" w:cs="Courier New"/>
                <w:sz w:val="20"/>
                <w:lang w:val="en-US"/>
              </w:rPr>
              <w:t>tTG</w:t>
            </w:r>
            <w:proofErr w:type="spellEnd"/>
            <w:r w:rsidRPr="00007BAD">
              <w:rPr>
                <w:rFonts w:asciiTheme="minorHAnsi" w:hAnsiTheme="minorHAnsi" w:cs="Courier New"/>
                <w:sz w:val="20"/>
                <w:lang w:val="en-US"/>
              </w:rPr>
              <w:t xml:space="preserve"> concentrations (13.9±8.7 U/mL); and normal duodenum (n=14), with widespread IgA anti-</w:t>
            </w:r>
            <w:proofErr w:type="spellStart"/>
            <w:r w:rsidRPr="00007BAD">
              <w:rPr>
                <w:rFonts w:asciiTheme="minorHAnsi" w:hAnsiTheme="minorHAnsi" w:cs="Courier New"/>
                <w:sz w:val="20"/>
                <w:lang w:val="en-US"/>
              </w:rPr>
              <w:t>tTG</w:t>
            </w:r>
            <w:proofErr w:type="spellEnd"/>
            <w:r w:rsidRPr="00007BAD">
              <w:rPr>
                <w:rFonts w:asciiTheme="minorHAnsi" w:hAnsiTheme="minorHAnsi" w:cs="Courier New"/>
                <w:sz w:val="20"/>
                <w:lang w:val="en-US"/>
              </w:rPr>
              <w:t xml:space="preserve"> deposits in 8 and in the bulb alone in 6 and low serum anti-</w:t>
            </w:r>
            <w:proofErr w:type="spellStart"/>
            <w:r w:rsidRPr="00007BAD">
              <w:rPr>
                <w:rFonts w:asciiTheme="minorHAnsi" w:hAnsiTheme="minorHAnsi" w:cs="Courier New"/>
                <w:sz w:val="20"/>
                <w:lang w:val="en-US"/>
              </w:rPr>
              <w:t>tTG</w:t>
            </w:r>
            <w:proofErr w:type="spellEnd"/>
            <w:r w:rsidRPr="00007BAD">
              <w:rPr>
                <w:rFonts w:asciiTheme="minorHAnsi" w:hAnsiTheme="minorHAnsi" w:cs="Courier New"/>
                <w:sz w:val="20"/>
                <w:lang w:val="en-US"/>
              </w:rPr>
              <w:t xml:space="preserve"> concentrations (10.6±6.2 U/mL). All patients in the first 2 groups were diagnosed with CD and 8 from the third group. All improved after 1 year of gluten-free diet. Bulb duodenal analysis led to a 12% (30/245) increase in CD diagnosis. No CD-related lesions were observed in the 30 control subjects. </w:t>
            </w:r>
          </w:p>
          <w:p w:rsidR="002C7B67" w:rsidRPr="00007BAD" w:rsidRDefault="002C7B67" w:rsidP="002C7B67">
            <w:pPr>
              <w:autoSpaceDE w:val="0"/>
              <w:autoSpaceDN w:val="0"/>
              <w:adjustRightInd w:val="0"/>
              <w:spacing w:before="0" w:line="240" w:lineRule="auto"/>
              <w:ind w:left="0" w:right="0"/>
              <w:rPr>
                <w:rFonts w:asciiTheme="minorHAnsi" w:hAnsiTheme="minorHAnsi" w:cs="Courier New"/>
                <w:sz w:val="20"/>
                <w:lang w:val="en-US"/>
              </w:rPr>
            </w:pPr>
            <w:r w:rsidRPr="00007BAD">
              <w:rPr>
                <w:rFonts w:asciiTheme="minorHAnsi" w:hAnsiTheme="minorHAnsi" w:cs="Courier New"/>
                <w:sz w:val="20"/>
                <w:lang w:val="en-US"/>
              </w:rPr>
              <w:t>Conclusions: In children at risk for CD, bulb duodenum biopsy sampling is essential to identify villous atrophy and detect IgA anti-</w:t>
            </w:r>
            <w:proofErr w:type="spellStart"/>
            <w:r w:rsidRPr="00007BAD">
              <w:rPr>
                <w:rFonts w:asciiTheme="minorHAnsi" w:hAnsiTheme="minorHAnsi" w:cs="Courier New"/>
                <w:sz w:val="20"/>
                <w:lang w:val="en-US"/>
              </w:rPr>
              <w:t>tTG</w:t>
            </w:r>
            <w:proofErr w:type="spellEnd"/>
            <w:r w:rsidRPr="00007BAD">
              <w:rPr>
                <w:rFonts w:asciiTheme="minorHAnsi" w:hAnsiTheme="minorHAnsi" w:cs="Courier New"/>
                <w:sz w:val="20"/>
                <w:lang w:val="en-US"/>
              </w:rPr>
              <w:t xml:space="preserve"> deposits even in absence of intestinal lesions. These mucosal autoantibodies could well represent a new standard for diagnosing CD. </w:t>
            </w:r>
          </w:p>
          <w:p w:rsidR="002C7B67" w:rsidRPr="002C7B67" w:rsidRDefault="002C7B67" w:rsidP="00DF3443">
            <w:pPr>
              <w:pStyle w:val="PreformattatoHTML"/>
              <w:contextualSpacing/>
              <w:jc w:val="both"/>
              <w:rPr>
                <w:lang w:val="en-US"/>
              </w:rPr>
            </w:pPr>
          </w:p>
          <w:p w:rsidR="00CA5EA6" w:rsidRPr="00DF3443" w:rsidRDefault="00CA5EA6" w:rsidP="00DF3443">
            <w:pPr>
              <w:pStyle w:val="CE-TableStandard"/>
              <w:spacing w:line="276" w:lineRule="auto"/>
              <w:rPr>
                <w:lang w:val="en"/>
              </w:rPr>
            </w:pPr>
          </w:p>
        </w:tc>
      </w:tr>
    </w:tbl>
    <w:p w:rsidR="007B6FAA" w:rsidRDefault="007B6FAA" w:rsidP="00BF2027">
      <w:pPr>
        <w:pStyle w:val="CE-StandardText"/>
        <w:spacing w:line="276" w:lineRule="auto"/>
        <w:rPr>
          <w:lang w:val="en-GB" w:eastAsia="de-AT"/>
        </w:rPr>
      </w:pPr>
    </w:p>
    <w:p w:rsidR="009E4AA9" w:rsidRDefault="009E4AA9" w:rsidP="00BF2027">
      <w:pPr>
        <w:pStyle w:val="CE-StandardText"/>
        <w:spacing w:line="276" w:lineRule="auto"/>
        <w:rPr>
          <w:lang w:val="en-GB" w:eastAsia="de-AT"/>
        </w:rPr>
      </w:pPr>
    </w:p>
    <w:p w:rsidR="009E4AA9" w:rsidRDefault="009E4AA9"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F102B2"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F102B2" w:rsidRPr="007B6FAA" w:rsidRDefault="00F102B2"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 xml:space="preserve">NUTS region(s) concerned by the </w:t>
            </w:r>
            <w:r w:rsidR="00C57D52">
              <w:rPr>
                <w:rFonts w:eastAsiaTheme="minorHAnsi" w:cstheme="minorBidi"/>
                <w:iCs/>
                <w:noProof/>
                <w:color w:val="FFFFFF" w:themeColor="background1"/>
                <w:sz w:val="22"/>
                <w:szCs w:val="24"/>
                <w:lang w:val="en-GB" w:eastAsia="de-AT"/>
              </w:rPr>
              <w:t>pilot action</w:t>
            </w:r>
            <w:r>
              <w:rPr>
                <w:rFonts w:eastAsiaTheme="minorHAnsi" w:cstheme="minorBidi"/>
                <w:iCs/>
                <w:noProof/>
                <w:color w:val="FFFFFF" w:themeColor="background1"/>
                <w:sz w:val="22"/>
                <w:szCs w:val="24"/>
                <w:lang w:val="en-GB" w:eastAsia="de-AT"/>
              </w:rPr>
              <w:t xml:space="preserve"> (relevant NUTS level)</w:t>
            </w:r>
          </w:p>
        </w:tc>
      </w:tr>
      <w:tr w:rsidR="00F102B2" w:rsidRPr="006E75EC" w:rsidTr="00094F0C">
        <w:trPr>
          <w:cnfStyle w:val="000000100000" w:firstRow="0" w:lastRow="0" w:firstColumn="0" w:lastColumn="0" w:oddVBand="0" w:evenVBand="0" w:oddHBand="1" w:evenHBand="0" w:firstRowFirstColumn="0" w:firstRowLastColumn="0" w:lastRowFirstColumn="0" w:lastRowLastColumn="0"/>
          <w:cantSplit/>
          <w:trHeight w:val="267"/>
        </w:trPr>
        <w:tc>
          <w:tcPr>
            <w:tcW w:w="9498" w:type="dxa"/>
            <w:shd w:val="clear" w:color="auto" w:fill="E4E7E7" w:themeFill="accent1" w:themeFillTint="33"/>
            <w:tcMar>
              <w:top w:w="170" w:type="dxa"/>
              <w:bottom w:w="113" w:type="dxa"/>
            </w:tcMar>
          </w:tcPr>
          <w:p w:rsidR="00EA5FC7" w:rsidRDefault="002C7B67" w:rsidP="00BF2027">
            <w:pPr>
              <w:pStyle w:val="CE-TableStandard"/>
              <w:spacing w:line="276" w:lineRule="auto"/>
            </w:pPr>
            <w:r>
              <w:t>The NUTS regions involved in the pilot project are listed here below</w:t>
            </w:r>
          </w:p>
          <w:p w:rsidR="002C7B67" w:rsidRPr="009E0F3F" w:rsidRDefault="002C7B67" w:rsidP="00BF2027">
            <w:pPr>
              <w:pStyle w:val="CE-TableStandard"/>
              <w:spacing w:line="276" w:lineRule="auto"/>
              <w:rPr>
                <w:b/>
              </w:rPr>
            </w:pPr>
            <w:r w:rsidRPr="009E0F3F">
              <w:rPr>
                <w:b/>
              </w:rPr>
              <w:t>NUTS 1 ITC NORD_OVEST</w:t>
            </w:r>
          </w:p>
          <w:p w:rsidR="002C7B67" w:rsidRPr="00A248E4" w:rsidRDefault="002C7B67" w:rsidP="00BF2027">
            <w:pPr>
              <w:pStyle w:val="CE-TableStandard"/>
              <w:spacing w:line="276" w:lineRule="auto"/>
            </w:pPr>
            <w:r w:rsidRPr="00A248E4">
              <w:t xml:space="preserve">NUTS 2 ITC4 </w:t>
            </w:r>
            <w:proofErr w:type="spellStart"/>
            <w:r w:rsidRPr="00A248E4">
              <w:t>Lombardia</w:t>
            </w:r>
            <w:proofErr w:type="spellEnd"/>
          </w:p>
          <w:p w:rsidR="002C7B67" w:rsidRPr="00A248E4" w:rsidRDefault="002C7B67" w:rsidP="00BF2027">
            <w:pPr>
              <w:pStyle w:val="CE-TableStandard"/>
              <w:spacing w:line="276" w:lineRule="auto"/>
            </w:pPr>
            <w:r w:rsidRPr="00A248E4">
              <w:t>NUTS 3 ITC4B Milano</w:t>
            </w:r>
          </w:p>
          <w:p w:rsidR="002C7B67" w:rsidRPr="009E0F3F" w:rsidRDefault="002C7B67" w:rsidP="00BF2027">
            <w:pPr>
              <w:pStyle w:val="CE-TableStandard"/>
              <w:spacing w:line="276" w:lineRule="auto"/>
            </w:pPr>
            <w:r w:rsidRPr="009E0F3F">
              <w:t>NUTS</w:t>
            </w:r>
            <w:r w:rsidR="009E0F3F" w:rsidRPr="009E0F3F">
              <w:t xml:space="preserve"> 3 ITC4D Monza</w:t>
            </w:r>
          </w:p>
          <w:p w:rsidR="009E0F3F" w:rsidRPr="009E0F3F" w:rsidRDefault="009E0F3F" w:rsidP="00BF2027">
            <w:pPr>
              <w:pStyle w:val="CE-TableStandard"/>
              <w:spacing w:line="276" w:lineRule="auto"/>
              <w:rPr>
                <w:b/>
              </w:rPr>
            </w:pPr>
            <w:r w:rsidRPr="009E0F3F">
              <w:rPr>
                <w:b/>
              </w:rPr>
              <w:t>NUTS 1 ITH NORD-EST</w:t>
            </w:r>
          </w:p>
          <w:p w:rsidR="009E0F3F" w:rsidRDefault="009E0F3F" w:rsidP="00BF2027">
            <w:pPr>
              <w:pStyle w:val="CE-TableStandard"/>
              <w:spacing w:line="276" w:lineRule="auto"/>
            </w:pPr>
            <w:r>
              <w:t>NUTS 2 ITH4 Friuli-Venezia Giulia</w:t>
            </w:r>
          </w:p>
          <w:p w:rsidR="009E0F3F" w:rsidRDefault="009E0F3F" w:rsidP="00BF2027">
            <w:pPr>
              <w:pStyle w:val="CE-TableStandard"/>
              <w:spacing w:line="276" w:lineRule="auto"/>
            </w:pPr>
            <w:r>
              <w:t>NUTS 3 ITH44 Trieste</w:t>
            </w:r>
          </w:p>
          <w:p w:rsidR="009E0F3F" w:rsidRDefault="009E0F3F" w:rsidP="00BF2027">
            <w:pPr>
              <w:pStyle w:val="CE-TableStandard"/>
              <w:spacing w:line="276" w:lineRule="auto"/>
            </w:pPr>
            <w:r>
              <w:t>NUTS 3 ITH42 Udine</w:t>
            </w:r>
          </w:p>
          <w:p w:rsidR="009E0F3F" w:rsidRDefault="009E0F3F" w:rsidP="00BF2027">
            <w:pPr>
              <w:pStyle w:val="CE-TableStandard"/>
              <w:spacing w:line="276" w:lineRule="auto"/>
            </w:pPr>
            <w:r>
              <w:t>NUTS 2 ITH3 Veneto</w:t>
            </w:r>
          </w:p>
          <w:p w:rsidR="009E0F3F" w:rsidRPr="009E0F3F" w:rsidRDefault="009E0F3F" w:rsidP="00BF2027">
            <w:pPr>
              <w:pStyle w:val="CE-TableStandard"/>
              <w:spacing w:line="276" w:lineRule="auto"/>
            </w:pPr>
            <w:r>
              <w:t>NUTS 3 ITH34 Treviso</w:t>
            </w:r>
          </w:p>
          <w:p w:rsidR="00F102B2" w:rsidRPr="009E0F3F" w:rsidRDefault="00F102B2" w:rsidP="00BF2027">
            <w:pPr>
              <w:pStyle w:val="CE-TableStandard"/>
              <w:spacing w:line="276" w:lineRule="auto"/>
            </w:pPr>
          </w:p>
        </w:tc>
      </w:tr>
    </w:tbl>
    <w:p w:rsidR="00F102B2" w:rsidRPr="009E0F3F" w:rsidRDefault="00F102B2" w:rsidP="00BF2027">
      <w:pPr>
        <w:pStyle w:val="CE-StandardText"/>
        <w:spacing w:line="276" w:lineRule="auto"/>
        <w:rPr>
          <w:lang w:eastAsia="de-AT"/>
        </w:rPr>
      </w:pPr>
    </w:p>
    <w:tbl>
      <w:tblPr>
        <w:tblStyle w:val="CE-Table2"/>
        <w:tblW w:w="9498" w:type="dxa"/>
        <w:tblInd w:w="108" w:type="dxa"/>
        <w:tblLook w:val="0420" w:firstRow="1" w:lastRow="0" w:firstColumn="0" w:lastColumn="0" w:noHBand="0" w:noVBand="1"/>
      </w:tblPr>
      <w:tblGrid>
        <w:gridCol w:w="9498"/>
      </w:tblGrid>
      <w:tr w:rsidR="008C68CF"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CA5EA6"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the </w:t>
            </w:r>
            <w:r w:rsidR="00C57D52">
              <w:rPr>
                <w:rFonts w:eastAsiaTheme="minorHAnsi" w:cstheme="minorBidi"/>
                <w:iCs/>
                <w:noProof/>
                <w:color w:val="FFFFFF" w:themeColor="background1"/>
                <w:sz w:val="22"/>
                <w:szCs w:val="24"/>
                <w:lang w:val="en-GB" w:eastAsia="de-AT"/>
              </w:rPr>
              <w:t>pilot action</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w:t>
            </w:r>
            <w:r w:rsidR="00C57D52">
              <w:rPr>
                <w:rFonts w:eastAsiaTheme="minorHAnsi" w:cstheme="minorBidi"/>
                <w:iCs/>
                <w:noProof/>
                <w:color w:val="FFFFFF" w:themeColor="background1"/>
                <w:sz w:val="22"/>
                <w:szCs w:val="24"/>
                <w:lang w:val="en-GB" w:eastAsia="de-AT"/>
              </w:rPr>
              <w:t>y</w:t>
            </w:r>
            <w:r w:rsidR="008C68CF" w:rsidRPr="008C68CF">
              <w:rPr>
                <w:rFonts w:eastAsiaTheme="minorHAnsi" w:cstheme="minorBidi"/>
                <w:iCs/>
                <w:noProof/>
                <w:color w:val="FFFFFF" w:themeColor="background1"/>
                <w:sz w:val="22"/>
                <w:szCs w:val="24"/>
                <w:lang w:val="en-GB" w:eastAsia="de-AT"/>
              </w:rPr>
              <w:t xml:space="preserve"> and target groups</w:t>
            </w:r>
          </w:p>
        </w:tc>
      </w:tr>
      <w:tr w:rsidR="008C68CF" w:rsidRPr="00CA5EA6" w:rsidTr="00094F0C">
        <w:trPr>
          <w:cnfStyle w:val="000000100000" w:firstRow="0" w:lastRow="0" w:firstColumn="0" w:lastColumn="0" w:oddVBand="0" w:evenVBand="0" w:oddHBand="1" w:evenHBand="0" w:firstRowFirstColumn="0" w:firstRowLastColumn="0" w:lastRowFirstColumn="0" w:lastRowLastColumn="0"/>
          <w:cantSplit/>
          <w:trHeight w:val="1609"/>
        </w:trPr>
        <w:tc>
          <w:tcPr>
            <w:tcW w:w="9498" w:type="dxa"/>
            <w:shd w:val="clear" w:color="auto" w:fill="E4E7E7" w:themeFill="accent1" w:themeFillTint="33"/>
            <w:tcMar>
              <w:top w:w="170" w:type="dxa"/>
              <w:bottom w:w="113" w:type="dxa"/>
            </w:tcMar>
          </w:tcPr>
          <w:p w:rsidR="009E0F3F" w:rsidRDefault="009E0F3F" w:rsidP="009E0F3F">
            <w:pPr>
              <w:pStyle w:val="PreformattatoHTML"/>
              <w:jc w:val="both"/>
              <w:rPr>
                <w:rFonts w:asciiTheme="minorHAnsi" w:hAnsiTheme="minorHAnsi"/>
                <w:sz w:val="20"/>
                <w:lang w:val="en"/>
              </w:rPr>
            </w:pPr>
            <w:r w:rsidRPr="00007BAD">
              <w:rPr>
                <w:rFonts w:asciiTheme="minorHAnsi" w:hAnsiTheme="minorHAnsi"/>
                <w:sz w:val="20"/>
                <w:lang w:val="en"/>
              </w:rPr>
              <w:t>We have identified some clinical forms of celiac disease and above all verified a specific CD diagnostic pathway. We have shared this knowledge with pediatricians and gastroenterologists now able to recognize and manage these new CD-clinical conditions.</w:t>
            </w:r>
          </w:p>
          <w:p w:rsidR="00B37504" w:rsidRPr="00007BAD" w:rsidRDefault="00B37504" w:rsidP="009E0F3F">
            <w:pPr>
              <w:pStyle w:val="PreformattatoHTML"/>
              <w:jc w:val="both"/>
              <w:rPr>
                <w:rFonts w:asciiTheme="minorHAnsi" w:hAnsiTheme="minorHAnsi"/>
                <w:sz w:val="20"/>
                <w:lang w:val="en"/>
              </w:rPr>
            </w:pPr>
          </w:p>
          <w:p w:rsidR="009E0F3F" w:rsidRDefault="009E0F3F" w:rsidP="009E0F3F">
            <w:pPr>
              <w:pStyle w:val="PreformattatoHTML"/>
              <w:jc w:val="both"/>
              <w:rPr>
                <w:rFonts w:asciiTheme="minorHAnsi" w:hAnsiTheme="minorHAnsi"/>
                <w:sz w:val="20"/>
                <w:lang w:val="en"/>
              </w:rPr>
            </w:pPr>
            <w:r w:rsidRPr="00007BAD">
              <w:rPr>
                <w:rFonts w:asciiTheme="minorHAnsi" w:hAnsiTheme="minorHAnsi"/>
                <w:sz w:val="20"/>
                <w:lang w:val="en"/>
              </w:rPr>
              <w:t xml:space="preserve">The interaction with the </w:t>
            </w:r>
            <w:proofErr w:type="spellStart"/>
            <w:r w:rsidRPr="00007BAD">
              <w:rPr>
                <w:rFonts w:asciiTheme="minorHAnsi" w:hAnsiTheme="minorHAnsi"/>
                <w:sz w:val="20"/>
                <w:lang w:val="en"/>
              </w:rPr>
              <w:t>Foocus</w:t>
            </w:r>
            <w:proofErr w:type="spellEnd"/>
            <w:r w:rsidRPr="00007BAD">
              <w:rPr>
                <w:rFonts w:asciiTheme="minorHAnsi" w:hAnsiTheme="minorHAnsi"/>
                <w:sz w:val="20"/>
                <w:lang w:val="en"/>
              </w:rPr>
              <w:t>-in-CD partners has led to the dissemination of immunological techniques for the best medical practice in the CD-diagnosis.</w:t>
            </w:r>
          </w:p>
          <w:p w:rsidR="00B37504" w:rsidRPr="00007BAD" w:rsidRDefault="00B37504" w:rsidP="009E0F3F">
            <w:pPr>
              <w:pStyle w:val="PreformattatoHTML"/>
              <w:jc w:val="both"/>
              <w:rPr>
                <w:rFonts w:asciiTheme="minorHAnsi" w:hAnsiTheme="minorHAnsi"/>
                <w:sz w:val="20"/>
                <w:lang w:val="en"/>
              </w:rPr>
            </w:pPr>
          </w:p>
          <w:p w:rsidR="009E0F3F" w:rsidRPr="00007BAD" w:rsidRDefault="009E0F3F" w:rsidP="009E0F3F">
            <w:pPr>
              <w:pStyle w:val="PreformattatoHTML"/>
              <w:jc w:val="both"/>
              <w:rPr>
                <w:rFonts w:asciiTheme="minorHAnsi" w:hAnsiTheme="minorHAnsi"/>
                <w:sz w:val="20"/>
                <w:lang w:val="en-US"/>
              </w:rPr>
            </w:pPr>
            <w:r w:rsidRPr="00007BAD">
              <w:rPr>
                <w:rFonts w:asciiTheme="minorHAnsi" w:hAnsiTheme="minorHAnsi"/>
                <w:sz w:val="20"/>
                <w:lang w:val="en"/>
              </w:rPr>
              <w:t>Increased knowledge on the presence of different CD-clinical forms, their recognition with an appropriate diagnostic path, and the medical care in daily clinical practice.</w:t>
            </w:r>
          </w:p>
          <w:p w:rsidR="009E0F3F" w:rsidRPr="00007BAD" w:rsidRDefault="009E0F3F" w:rsidP="009E0F3F">
            <w:pPr>
              <w:pStyle w:val="PreformattatoHTML"/>
              <w:jc w:val="both"/>
              <w:rPr>
                <w:rFonts w:asciiTheme="minorHAnsi" w:hAnsiTheme="minorHAnsi"/>
                <w:sz w:val="20"/>
                <w:lang w:val="en-US"/>
              </w:rPr>
            </w:pPr>
          </w:p>
          <w:p w:rsidR="009E0F3F" w:rsidRPr="005F764C" w:rsidRDefault="009E0F3F" w:rsidP="009E0F3F">
            <w:pPr>
              <w:pStyle w:val="PreformattatoHTML"/>
              <w:jc w:val="both"/>
              <w:rPr>
                <w:lang w:val="en-US"/>
              </w:rPr>
            </w:pPr>
          </w:p>
          <w:p w:rsidR="008C68CF" w:rsidRPr="00805D51" w:rsidRDefault="008C68CF" w:rsidP="009E0F3F">
            <w:pPr>
              <w:pStyle w:val="CE-TableStandard"/>
              <w:spacing w:line="276" w:lineRule="auto"/>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8C68CF" w:rsidP="00BF2027">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C57D52">
              <w:rPr>
                <w:rFonts w:eastAsiaTheme="minorHAnsi" w:cstheme="minorBidi"/>
                <w:iCs/>
                <w:noProof/>
                <w:color w:val="FFFFFF" w:themeColor="background1"/>
                <w:sz w:val="22"/>
                <w:szCs w:val="24"/>
                <w:lang w:val="en-GB" w:eastAsia="de-AT"/>
              </w:rPr>
              <w:t>pilot action</w:t>
            </w:r>
            <w:r w:rsidR="00104303">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results </w:t>
            </w:r>
            <w:r w:rsidR="00104303">
              <w:rPr>
                <w:rFonts w:eastAsiaTheme="minorHAnsi" w:cstheme="minorBidi"/>
                <w:iCs/>
                <w:noProof/>
                <w:color w:val="FFFFFF" w:themeColor="background1"/>
                <w:sz w:val="22"/>
                <w:szCs w:val="24"/>
                <w:lang w:val="en-GB" w:eastAsia="de-AT"/>
              </w:rPr>
              <w:t>and transferability</w:t>
            </w:r>
            <w:r w:rsidR="00C57D52">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tc>
      </w:tr>
      <w:tr w:rsidR="008C68CF" w:rsidRPr="00CA5EA6" w:rsidTr="00094F0C">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rsidR="00007BAD" w:rsidRPr="00007BAD" w:rsidRDefault="00007BAD" w:rsidP="00007BAD">
            <w:pPr>
              <w:pStyle w:val="CE-BulletPoint1"/>
              <w:jc w:val="both"/>
              <w:rPr>
                <w:sz w:val="20"/>
                <w:szCs w:val="20"/>
              </w:rPr>
            </w:pPr>
            <w:r w:rsidRPr="00007BAD">
              <w:rPr>
                <w:sz w:val="20"/>
                <w:szCs w:val="20"/>
              </w:rPr>
              <w:t>Working groups: the presence of working groups (</w:t>
            </w:r>
            <w:proofErr w:type="spellStart"/>
            <w:r w:rsidRPr="00007BAD">
              <w:rPr>
                <w:sz w:val="20"/>
                <w:szCs w:val="20"/>
              </w:rPr>
              <w:t>pediatricians</w:t>
            </w:r>
            <w:proofErr w:type="spellEnd"/>
            <w:r w:rsidRPr="00007BAD">
              <w:rPr>
                <w:sz w:val="20"/>
                <w:szCs w:val="20"/>
              </w:rPr>
              <w:t xml:space="preserve"> and adult gastroenterologists) born during the project will ensure the continuity of the new clinical and diagnostic features acquired. The acquisition of diagnostic techniques and the knowledge of the various clinical forms of celiac disease will allow some groups of this project to extend this knowledge to other Italian regions and work groups.</w:t>
            </w:r>
          </w:p>
          <w:p w:rsidR="00007BAD" w:rsidRPr="00007BAD" w:rsidRDefault="00007BAD" w:rsidP="00007BAD">
            <w:pPr>
              <w:pStyle w:val="CE-BulletPoint1"/>
              <w:rPr>
                <w:sz w:val="20"/>
                <w:szCs w:val="20"/>
              </w:rPr>
            </w:pPr>
            <w:r w:rsidRPr="00007BAD">
              <w:rPr>
                <w:sz w:val="20"/>
                <w:szCs w:val="20"/>
              </w:rPr>
              <w:t>Guidelines: the acquired clinical and diagnostic experience will allow to formulate and apply innovative guidelines for CD treatment</w:t>
            </w:r>
            <w:bookmarkStart w:id="0" w:name="_GoBack"/>
            <w:bookmarkEnd w:id="0"/>
            <w:r w:rsidRPr="00007BAD">
              <w:rPr>
                <w:sz w:val="20"/>
                <w:szCs w:val="20"/>
              </w:rPr>
              <w:t xml:space="preserve"> by the various working groups.</w:t>
            </w:r>
          </w:p>
          <w:p w:rsidR="00CA5EA6" w:rsidRPr="00007BAD" w:rsidRDefault="00CA5EA6" w:rsidP="00007BAD">
            <w:pPr>
              <w:pStyle w:val="CE-TableStandard"/>
              <w:spacing w:line="276" w:lineRule="auto"/>
              <w:rPr>
                <w:lang w:val="en-GB"/>
              </w:rPr>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104303"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22238D">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 xml:space="preserve">the implementation </w:t>
            </w:r>
            <w:r w:rsidR="0022238D">
              <w:rPr>
                <w:rFonts w:eastAsiaTheme="minorHAnsi" w:cstheme="minorBidi"/>
                <w:iCs/>
                <w:noProof/>
                <w:color w:val="FFFFFF" w:themeColor="background1"/>
                <w:sz w:val="22"/>
                <w:szCs w:val="24"/>
                <w:lang w:val="en-GB" w:eastAsia="de-AT"/>
              </w:rPr>
              <w:t xml:space="preserve">of the pilot action </w:t>
            </w:r>
            <w:r>
              <w:rPr>
                <w:rFonts w:eastAsiaTheme="minorHAnsi" w:cstheme="minorBidi"/>
                <w:iCs/>
                <w:noProof/>
                <w:color w:val="FFFFFF" w:themeColor="background1"/>
                <w:sz w:val="22"/>
                <w:szCs w:val="24"/>
                <w:lang w:val="en-GB" w:eastAsia="de-AT"/>
              </w:rPr>
              <w:t>and added value of transnational cooperation</w:t>
            </w:r>
          </w:p>
        </w:tc>
      </w:tr>
      <w:tr w:rsidR="008C68CF" w:rsidRPr="00CA5EA6" w:rsidTr="00094F0C">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rsidR="00007BAD" w:rsidRPr="00007BAD" w:rsidRDefault="00007BAD" w:rsidP="00007BAD">
            <w:pPr>
              <w:pStyle w:val="PreformattatoHTML"/>
              <w:jc w:val="both"/>
              <w:rPr>
                <w:rFonts w:asciiTheme="minorHAnsi" w:hAnsiTheme="minorHAnsi"/>
                <w:sz w:val="20"/>
                <w:lang w:val="en-US"/>
              </w:rPr>
            </w:pPr>
            <w:r w:rsidRPr="00007BAD">
              <w:rPr>
                <w:rFonts w:asciiTheme="minorHAnsi" w:hAnsiTheme="minorHAnsi"/>
                <w:sz w:val="20"/>
                <w:lang w:val="en"/>
              </w:rPr>
              <w:t xml:space="preserve">Collaboration with pediatricians and adult gastroenterologists has been extremely productive and useful in daily clinical practice and has generated a stable collaboration </w:t>
            </w:r>
            <w:proofErr w:type="gramStart"/>
            <w:r w:rsidRPr="00007BAD">
              <w:rPr>
                <w:rFonts w:asciiTheme="minorHAnsi" w:hAnsiTheme="minorHAnsi"/>
                <w:sz w:val="20"/>
                <w:lang w:val="en"/>
              </w:rPr>
              <w:t>never before</w:t>
            </w:r>
            <w:proofErr w:type="gramEnd"/>
            <w:r w:rsidRPr="00007BAD">
              <w:rPr>
                <w:rFonts w:asciiTheme="minorHAnsi" w:hAnsiTheme="minorHAnsi"/>
                <w:sz w:val="20"/>
                <w:lang w:val="en"/>
              </w:rPr>
              <w:t xml:space="preserve"> experienced.</w:t>
            </w:r>
          </w:p>
          <w:p w:rsidR="00CA5EA6" w:rsidRPr="00805D51" w:rsidRDefault="00CA5EA6" w:rsidP="00007BAD">
            <w:pPr>
              <w:pStyle w:val="CE-TableStandard"/>
              <w:spacing w:line="276" w:lineRule="auto"/>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22238D"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22238D"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rsidR="0022238D" w:rsidRPr="007B6FAA"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7B6FAA" w:rsidTr="00094F0C">
        <w:trPr>
          <w:cnfStyle w:val="000000100000" w:firstRow="0" w:lastRow="0" w:firstColumn="0" w:lastColumn="0" w:oddVBand="0" w:evenVBand="0" w:oddHBand="1" w:evenHBand="0" w:firstRowFirstColumn="0" w:firstRowLastColumn="0" w:lastRowFirstColumn="0" w:lastRowLastColumn="0"/>
          <w:cantSplit/>
          <w:trHeight w:val="1546"/>
        </w:trPr>
        <w:tc>
          <w:tcPr>
            <w:tcW w:w="9498" w:type="dxa"/>
            <w:shd w:val="clear" w:color="auto" w:fill="E4E7E7" w:themeFill="accent1" w:themeFillTint="33"/>
            <w:tcMar>
              <w:top w:w="170" w:type="dxa"/>
              <w:bottom w:w="113" w:type="dxa"/>
            </w:tcMar>
          </w:tcPr>
          <w:p w:rsidR="008C68CF" w:rsidRDefault="00007BAD" w:rsidP="00BF2027">
            <w:pPr>
              <w:pStyle w:val="CE-TableStandard"/>
              <w:spacing w:line="276" w:lineRule="auto"/>
            </w:pPr>
            <w:r>
              <w:t>Project web sites</w:t>
            </w:r>
          </w:p>
          <w:p w:rsidR="00007BAD" w:rsidRPr="00007BAD" w:rsidRDefault="00007BAD" w:rsidP="00007BAD">
            <w:pPr>
              <w:pStyle w:val="CE-TableStandard"/>
              <w:spacing w:line="276" w:lineRule="auto"/>
              <w:rPr>
                <w:rFonts w:asciiTheme="minorHAnsi" w:hAnsiTheme="minorHAnsi"/>
                <w:color w:val="auto"/>
                <w:sz w:val="20"/>
                <w:szCs w:val="20"/>
              </w:rPr>
            </w:pPr>
            <w:r w:rsidRPr="00007BAD">
              <w:rPr>
                <w:rFonts w:asciiTheme="minorHAnsi" w:hAnsiTheme="minorHAnsi"/>
                <w:color w:val="auto"/>
                <w:sz w:val="20"/>
                <w:szCs w:val="20"/>
                <w:lang w:val="de-AT"/>
              </w:rPr>
              <w:t xml:space="preserve">- </w:t>
            </w:r>
            <w:hyperlink r:id="rId8" w:history="1">
              <w:r w:rsidRPr="00007BAD">
                <w:rPr>
                  <w:rStyle w:val="Collegamentoipertestuale"/>
                  <w:rFonts w:asciiTheme="minorHAnsi" w:hAnsiTheme="minorHAnsi"/>
                  <w:color w:val="auto"/>
                  <w:sz w:val="20"/>
                  <w:szCs w:val="20"/>
                  <w:lang w:val="de-AT"/>
                </w:rPr>
                <w:t>https://www.interreg-central.eu/Content.Node/Focus-IN-CD.html</w:t>
              </w:r>
            </w:hyperlink>
          </w:p>
          <w:p w:rsidR="00007BAD" w:rsidRPr="00007BAD" w:rsidRDefault="00007BAD" w:rsidP="00007BAD">
            <w:pPr>
              <w:pStyle w:val="CE-TableStandard"/>
              <w:spacing w:line="276" w:lineRule="auto"/>
              <w:rPr>
                <w:rFonts w:asciiTheme="minorHAnsi" w:hAnsiTheme="minorHAnsi"/>
                <w:color w:val="auto"/>
                <w:sz w:val="20"/>
                <w:szCs w:val="20"/>
              </w:rPr>
            </w:pPr>
            <w:r w:rsidRPr="00007BAD">
              <w:rPr>
                <w:rFonts w:asciiTheme="minorHAnsi" w:hAnsiTheme="minorHAnsi"/>
                <w:color w:val="auto"/>
                <w:sz w:val="20"/>
                <w:szCs w:val="20"/>
              </w:rPr>
              <w:t xml:space="preserve">- </w:t>
            </w:r>
            <w:hyperlink r:id="rId9" w:history="1">
              <w:r w:rsidRPr="00007BAD">
                <w:rPr>
                  <w:rStyle w:val="Collegamentoipertestuale"/>
                  <w:rFonts w:asciiTheme="minorHAnsi" w:hAnsiTheme="minorHAnsi"/>
                  <w:color w:val="auto"/>
                  <w:sz w:val="20"/>
                  <w:szCs w:val="20"/>
                </w:rPr>
                <w:t>https://www.facebook.com/focusincd/</w:t>
              </w:r>
            </w:hyperlink>
          </w:p>
          <w:p w:rsidR="00007BAD" w:rsidRPr="00007BAD" w:rsidRDefault="00007BAD" w:rsidP="00007BAD">
            <w:pPr>
              <w:pStyle w:val="CE-TableStandard"/>
              <w:spacing w:line="276" w:lineRule="auto"/>
              <w:rPr>
                <w:rFonts w:asciiTheme="minorHAnsi" w:hAnsiTheme="minorHAnsi"/>
                <w:color w:val="auto"/>
                <w:sz w:val="20"/>
                <w:szCs w:val="20"/>
              </w:rPr>
            </w:pPr>
          </w:p>
          <w:p w:rsidR="00007BAD" w:rsidRPr="00007BAD" w:rsidRDefault="00007BAD" w:rsidP="00007BAD">
            <w:pPr>
              <w:pStyle w:val="CE-TableStandard"/>
              <w:spacing w:line="276" w:lineRule="auto"/>
              <w:rPr>
                <w:rFonts w:asciiTheme="minorHAnsi" w:hAnsiTheme="minorHAnsi"/>
                <w:color w:val="auto"/>
                <w:sz w:val="20"/>
                <w:szCs w:val="20"/>
              </w:rPr>
            </w:pPr>
            <w:r w:rsidRPr="00007BAD">
              <w:rPr>
                <w:rFonts w:asciiTheme="minorHAnsi" w:hAnsiTheme="minorHAnsi"/>
                <w:color w:val="auto"/>
                <w:sz w:val="20"/>
                <w:szCs w:val="20"/>
              </w:rPr>
              <w:t xml:space="preserve">- </w:t>
            </w:r>
            <w:hyperlink r:id="rId10" w:history="1">
              <w:r w:rsidRPr="00007BAD">
                <w:rPr>
                  <w:rStyle w:val="Collegamentoipertestuale"/>
                  <w:rFonts w:asciiTheme="minorHAnsi" w:hAnsiTheme="minorHAnsi"/>
                  <w:color w:val="auto"/>
                  <w:sz w:val="20"/>
                  <w:szCs w:val="20"/>
                </w:rPr>
                <w:t>https://www.celiachia-info.it/focusincd-it</w:t>
              </w:r>
            </w:hyperlink>
          </w:p>
          <w:p w:rsidR="00007BAD" w:rsidRPr="00007BAD" w:rsidRDefault="00007BAD" w:rsidP="00007BAD">
            <w:pPr>
              <w:pStyle w:val="CE-TableStandard"/>
              <w:spacing w:line="276" w:lineRule="auto"/>
              <w:rPr>
                <w:rFonts w:asciiTheme="minorHAnsi" w:hAnsiTheme="minorHAnsi"/>
                <w:color w:val="auto"/>
                <w:sz w:val="20"/>
                <w:szCs w:val="20"/>
              </w:rPr>
            </w:pPr>
          </w:p>
          <w:p w:rsidR="00007BAD" w:rsidRPr="00007BAD" w:rsidRDefault="00007BAD" w:rsidP="00BF2027">
            <w:pPr>
              <w:pStyle w:val="CE-TableStandard"/>
              <w:spacing w:line="276" w:lineRule="auto"/>
              <w:rPr>
                <w:rFonts w:asciiTheme="minorHAnsi" w:hAnsiTheme="minorHAnsi"/>
                <w:color w:val="auto"/>
                <w:sz w:val="20"/>
                <w:szCs w:val="20"/>
              </w:rPr>
            </w:pPr>
            <w:r w:rsidRPr="00007BAD">
              <w:rPr>
                <w:rFonts w:asciiTheme="minorHAnsi" w:hAnsiTheme="minorHAnsi"/>
                <w:color w:val="auto"/>
                <w:sz w:val="20"/>
                <w:szCs w:val="20"/>
              </w:rPr>
              <w:t xml:space="preserve">- </w:t>
            </w:r>
            <w:hyperlink r:id="rId11" w:history="1">
              <w:r w:rsidRPr="00007BAD">
                <w:rPr>
                  <w:rStyle w:val="Collegamentoipertestuale"/>
                  <w:rFonts w:asciiTheme="minorHAnsi" w:hAnsiTheme="minorHAnsi"/>
                  <w:color w:val="auto"/>
                  <w:sz w:val="20"/>
                  <w:szCs w:val="20"/>
                </w:rPr>
                <w:t>http://www.burlo.trieste.it/content/vuoi-saper-pi-sulla-malattia-celiaca</w:t>
              </w:r>
            </w:hyperlink>
          </w:p>
          <w:p w:rsidR="00007BAD" w:rsidRPr="00805D51" w:rsidRDefault="00007BAD" w:rsidP="00BF2027">
            <w:pPr>
              <w:pStyle w:val="CE-TableStandard"/>
              <w:spacing w:line="276" w:lineRule="auto"/>
            </w:pPr>
            <w:r w:rsidRPr="00007BAD">
              <w:rPr>
                <w:rFonts w:asciiTheme="minorHAnsi" w:hAnsiTheme="minorHAnsi"/>
                <w:color w:val="auto"/>
                <w:sz w:val="20"/>
                <w:szCs w:val="20"/>
              </w:rPr>
              <w:t>- https://www.youtube.com/watch?v=0RgNm4aJS2Y</w:t>
            </w:r>
          </w:p>
        </w:tc>
      </w:tr>
    </w:tbl>
    <w:p w:rsidR="008C68CF" w:rsidRPr="00156013" w:rsidRDefault="008C68CF" w:rsidP="00BF2027">
      <w:pPr>
        <w:pStyle w:val="CE-StandardText"/>
        <w:spacing w:line="276" w:lineRule="auto"/>
        <w:rPr>
          <w:lang w:val="en-GB" w:eastAsia="de-AT"/>
        </w:rPr>
      </w:pPr>
    </w:p>
    <w:sectPr w:rsidR="008C68CF" w:rsidRPr="00156013" w:rsidSect="00731BF8">
      <w:headerReference w:type="default" r:id="rId12"/>
      <w:footerReference w:type="default" r:id="rId13"/>
      <w:headerReference w:type="first" r:id="rId14"/>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8FE" w:rsidRDefault="00E468FE" w:rsidP="00877C37">
      <w:r>
        <w:separator/>
      </w:r>
    </w:p>
    <w:p w:rsidR="00E468FE" w:rsidRDefault="00E468FE"/>
    <w:p w:rsidR="00E468FE" w:rsidRDefault="00E468FE"/>
    <w:p w:rsidR="00E468FE" w:rsidRDefault="00E468FE"/>
  </w:endnote>
  <w:endnote w:type="continuationSeparator" w:id="0">
    <w:p w:rsidR="00E468FE" w:rsidRDefault="00E468FE" w:rsidP="00877C37">
      <w:r>
        <w:continuationSeparator/>
      </w:r>
    </w:p>
    <w:p w:rsidR="00E468FE" w:rsidRDefault="00E468FE"/>
    <w:p w:rsidR="00E468FE" w:rsidRDefault="00E468FE"/>
    <w:p w:rsidR="00E468FE" w:rsidRDefault="00E46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3A" w:rsidRPr="00B07377" w:rsidRDefault="00DA073A" w:rsidP="00DA073A">
    <w:pPr>
      <w:pStyle w:val="CE-Head3"/>
      <w:jc w:val="right"/>
      <w:rPr>
        <w:sz w:val="20"/>
      </w:rPr>
    </w:pPr>
  </w:p>
  <w:p w:rsidR="00DA073A" w:rsidRDefault="00DA073A" w:rsidP="00DA073A">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8FE" w:rsidRPr="00924079" w:rsidRDefault="00E468FE" w:rsidP="00924079">
      <w:pPr>
        <w:ind w:left="0"/>
        <w:rPr>
          <w:color w:val="4D4933" w:themeColor="accent6"/>
        </w:rPr>
      </w:pPr>
      <w:r w:rsidRPr="00924079">
        <w:rPr>
          <w:color w:val="4D4933" w:themeColor="accent6"/>
        </w:rPr>
        <w:separator/>
      </w:r>
    </w:p>
    <w:p w:rsidR="00E468FE" w:rsidRDefault="00E468FE" w:rsidP="00924079">
      <w:pPr>
        <w:ind w:left="0"/>
      </w:pPr>
    </w:p>
    <w:p w:rsidR="00E468FE" w:rsidRDefault="00E468FE"/>
    <w:p w:rsidR="00E468FE" w:rsidRDefault="00E468FE"/>
    <w:p w:rsidR="00E468FE" w:rsidRDefault="00E468FE"/>
  </w:footnote>
  <w:footnote w:type="continuationSeparator" w:id="0">
    <w:p w:rsidR="00E468FE" w:rsidRDefault="00E468FE" w:rsidP="00924079">
      <w:pPr>
        <w:ind w:left="0"/>
      </w:pPr>
      <w:r>
        <w:continuationSeparator/>
      </w:r>
    </w:p>
    <w:p w:rsidR="00E468FE" w:rsidRDefault="00E468FE"/>
    <w:p w:rsidR="00E468FE" w:rsidRDefault="00E468FE"/>
    <w:p w:rsidR="00E468FE" w:rsidRDefault="00E468FE"/>
  </w:footnote>
  <w:footnote w:type="continuationNotice" w:id="1">
    <w:p w:rsidR="00E468FE" w:rsidRDefault="00E468FE">
      <w:pPr>
        <w:spacing w:before="0" w:line="240" w:lineRule="auto"/>
      </w:pPr>
    </w:p>
    <w:p w:rsidR="00E468FE" w:rsidRDefault="00E468FE"/>
    <w:p w:rsidR="00E468FE" w:rsidRDefault="00E468FE"/>
    <w:p w:rsidR="00E468FE" w:rsidRDefault="00E46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4" w:rsidRPr="00C8321B" w:rsidRDefault="00DF06E9" w:rsidP="00C8321B">
    <w:pPr>
      <w:pStyle w:val="Intestazione"/>
      <w:jc w:val="center"/>
    </w:pPr>
    <w:r>
      <w:rPr>
        <w:noProof/>
        <w:lang w:val="it-IT" w:eastAsia="it-IT"/>
      </w:rPr>
      <w:drawing>
        <wp:anchor distT="0" distB="0" distL="114300" distR="114300" simplePos="0" relativeHeight="251659776" behindDoc="1" locked="0" layoutInCell="1" allowOverlap="1" wp14:anchorId="5A0A3F06" wp14:editId="5620A26B">
          <wp:simplePos x="0" y="0"/>
          <wp:positionH relativeFrom="column">
            <wp:posOffset>-352425</wp:posOffset>
          </wp:positionH>
          <wp:positionV relativeFrom="paragraph">
            <wp:posOffset>0</wp:posOffset>
          </wp:positionV>
          <wp:extent cx="6917130" cy="1439544"/>
          <wp:effectExtent l="0" t="0" r="0" b="889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D54" w:rsidRDefault="00596D54"/>
  <w:p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4" w:rsidRDefault="00FD51C4" w:rsidP="00D41EE5">
    <w:pPr>
      <w:pStyle w:val="Intestazione"/>
      <w:ind w:left="-1559"/>
    </w:pPr>
    <w:r>
      <w:rPr>
        <w:noProof/>
        <w:lang w:val="it-IT" w:eastAsia="it-IT"/>
      </w:rPr>
      <w:drawing>
        <wp:anchor distT="0" distB="0" distL="114300" distR="114300" simplePos="0" relativeHeight="251657728" behindDoc="1" locked="0" layoutInCell="1" allowOverlap="1" wp14:anchorId="5A0A3F06" wp14:editId="5620A26B">
          <wp:simplePos x="0" y="0"/>
          <wp:positionH relativeFrom="column">
            <wp:posOffset>-409575</wp:posOffset>
          </wp:positionH>
          <wp:positionV relativeFrom="paragraph">
            <wp:posOffset>66675</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2"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4"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1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3"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19"/>
  </w:num>
  <w:num w:numId="2">
    <w:abstractNumId w:val="20"/>
  </w:num>
  <w:num w:numId="3">
    <w:abstractNumId w:val="1"/>
  </w:num>
  <w:num w:numId="4">
    <w:abstractNumId w:val="22"/>
  </w:num>
  <w:num w:numId="5">
    <w:abstractNumId w:val="16"/>
  </w:num>
  <w:num w:numId="6">
    <w:abstractNumId w:val="9"/>
  </w:num>
  <w:num w:numId="7">
    <w:abstractNumId w:val="12"/>
  </w:num>
  <w:num w:numId="8">
    <w:abstractNumId w:val="15"/>
  </w:num>
  <w:num w:numId="9">
    <w:abstractNumId w:val="2"/>
  </w:num>
  <w:num w:numId="10">
    <w:abstractNumId w:val="17"/>
  </w:num>
  <w:num w:numId="11">
    <w:abstractNumId w:val="13"/>
  </w:num>
  <w:num w:numId="12">
    <w:abstractNumId w:val="6"/>
  </w:num>
  <w:num w:numId="13">
    <w:abstractNumId w:val="8"/>
  </w:num>
  <w:num w:numId="14">
    <w:abstractNumId w:val="0"/>
  </w:num>
  <w:num w:numId="15">
    <w:abstractNumId w:val="10"/>
  </w:num>
  <w:num w:numId="16">
    <w:abstractNumId w:val="5"/>
  </w:num>
  <w:num w:numId="17">
    <w:abstractNumId w:val="7"/>
  </w:num>
  <w:num w:numId="18">
    <w:abstractNumId w:val="21"/>
  </w:num>
  <w:num w:numId="19">
    <w:abstractNumId w:val="3"/>
  </w:num>
  <w:num w:numId="20">
    <w:abstractNumId w:val="14"/>
  </w:num>
  <w:num w:numId="21">
    <w:abstractNumId w:val="4"/>
  </w:num>
  <w:num w:numId="22">
    <w:abstractNumId w:val="23"/>
  </w:num>
  <w:num w:numId="23">
    <w:abstractNumId w:val="18"/>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BAD"/>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4F0C"/>
    <w:rsid w:val="00095478"/>
    <w:rsid w:val="0009630C"/>
    <w:rsid w:val="00096C74"/>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6E68"/>
    <w:rsid w:val="00217039"/>
    <w:rsid w:val="00217511"/>
    <w:rsid w:val="00217E5B"/>
    <w:rsid w:val="002200AE"/>
    <w:rsid w:val="00221473"/>
    <w:rsid w:val="00221669"/>
    <w:rsid w:val="002216A5"/>
    <w:rsid w:val="00221C12"/>
    <w:rsid w:val="00221C63"/>
    <w:rsid w:val="0022238D"/>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495"/>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C7B67"/>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D7F45"/>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40E"/>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836"/>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3B1"/>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3F"/>
    <w:rsid w:val="009E0FF9"/>
    <w:rsid w:val="009E192E"/>
    <w:rsid w:val="009E1F5D"/>
    <w:rsid w:val="009E201C"/>
    <w:rsid w:val="009E35F5"/>
    <w:rsid w:val="009E4872"/>
    <w:rsid w:val="009E4952"/>
    <w:rsid w:val="009E4AA9"/>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48E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377"/>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37504"/>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14D7"/>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2D5"/>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02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3F9"/>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6E9"/>
    <w:rsid w:val="00DF0892"/>
    <w:rsid w:val="00DF0A78"/>
    <w:rsid w:val="00DF192B"/>
    <w:rsid w:val="00DF1F1C"/>
    <w:rsid w:val="00DF2128"/>
    <w:rsid w:val="00DF22AE"/>
    <w:rsid w:val="00DF2896"/>
    <w:rsid w:val="00DF331F"/>
    <w:rsid w:val="00DF3443"/>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68FE"/>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2947"/>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240"/>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51C4"/>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BAEE0"/>
  <w15:docId w15:val="{B108EAB0-1E2D-433D-A0C2-D2621D66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styleId="PreformattatoHTML">
    <w:name w:val="HTML Preformatted"/>
    <w:basedOn w:val="Normale"/>
    <w:link w:val="PreformattatoHTMLCarattere"/>
    <w:uiPriority w:val="99"/>
    <w:unhideWhenUsed/>
    <w:rsid w:val="00DF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jc w:val="left"/>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DF3443"/>
    <w:rPr>
      <w:rFonts w:ascii="Courier New" w:hAnsi="Courier New" w:cs="Courier New"/>
      <w:lang w:val="it-IT" w:eastAsia="it-IT"/>
    </w:rPr>
  </w:style>
  <w:style w:type="paragraph" w:customStyle="1" w:styleId="CE-BulletPoint1">
    <w:name w:val="CE-BulletPoint1"/>
    <w:basedOn w:val="CE-StandardText"/>
    <w:link w:val="CE-BulletPoint1Zchn"/>
    <w:qFormat/>
    <w:rsid w:val="00007BAD"/>
    <w:pPr>
      <w:numPr>
        <w:numId w:val="24"/>
      </w:numPr>
      <w:spacing w:before="120" w:line="276" w:lineRule="auto"/>
      <w:ind w:left="284" w:hanging="284"/>
      <w:jc w:val="left"/>
    </w:pPr>
    <w:rPr>
      <w:lang w:val="en-GB"/>
    </w:rPr>
  </w:style>
  <w:style w:type="character" w:customStyle="1" w:styleId="CE-BulletPoint1Zchn">
    <w:name w:val="CE-BulletPoint1 Zchn"/>
    <w:basedOn w:val="CE-StandardTextZchn"/>
    <w:link w:val="CE-BulletPoint1"/>
    <w:rsid w:val="00007BAD"/>
    <w:rPr>
      <w:rFonts w:ascii="Trebuchet MS" w:hAnsi="Trebuchet MS"/>
      <w:color w:val="4D4D4E"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entral.eu/Content.Node/Focus-IN-CD.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rlo.trieste.it/content/vuoi-saper-pi-sulla-malattia-celi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liachia-info.it/focusincd-it" TargetMode="External"/><Relationship Id="rId4" Type="http://schemas.openxmlformats.org/officeDocument/2006/relationships/settings" Target="settings.xml"/><Relationship Id="rId9" Type="http://schemas.openxmlformats.org/officeDocument/2006/relationships/hyperlink" Target="https://www.facebook.com/focusinc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33D5-B51F-41C7-8AAB-DCA72387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3955</Characters>
  <Application>Microsoft Office Word</Application>
  <DocSecurity>0</DocSecurity>
  <Lines>32</Lines>
  <Paragraphs>9</Paragraphs>
  <ScaleCrop>false</ScaleCrop>
  <HeadingPairs>
    <vt:vector size="8" baseType="variant">
      <vt:variant>
        <vt:lpstr>Titolo</vt:lpstr>
      </vt:variant>
      <vt:variant>
        <vt:i4>1</vt:i4>
      </vt:variant>
      <vt:variant>
        <vt:lpstr>Naslov</vt:lpstr>
      </vt:variant>
      <vt:variant>
        <vt:i4>1</vt:i4>
      </vt:variant>
      <vt:variant>
        <vt:lpstr>Titel</vt:lpstr>
      </vt:variant>
      <vt:variant>
        <vt:i4>1</vt:i4>
      </vt:variant>
      <vt:variant>
        <vt:lpstr>Title</vt:lpstr>
      </vt:variant>
      <vt:variant>
        <vt:i4>1</vt:i4>
      </vt:variant>
    </vt:vector>
  </HeadingPairs>
  <TitlesOfParts>
    <vt:vector size="4" baseType="lpstr">
      <vt:lpstr>Implementation manual</vt:lpstr>
      <vt:lpstr>Implementation manual</vt:lpstr>
      <vt:lpstr>Implementation manual</vt:lpstr>
      <vt:lpstr>Implementation manual</vt:lpstr>
    </vt:vector>
  </TitlesOfParts>
  <Company>Magistrat der Stadt Wien, MA 14 - ADV</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daniele sblattero</cp:lastModifiedBy>
  <cp:revision>4</cp:revision>
  <cp:lastPrinted>2016-10-14T07:30:00Z</cp:lastPrinted>
  <dcterms:created xsi:type="dcterms:W3CDTF">2019-05-20T15:12:00Z</dcterms:created>
  <dcterms:modified xsi:type="dcterms:W3CDTF">2019-05-20T15:13:00Z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